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 w:line="240" w:lineRule="auto"/>
        <w:jc w:val="center"/>
      </w:pPr>
      <w:r>
        <w:rPr>
          <w:b/>
          <w:color w:val="0EA5E9"/>
          <w:sz w:val="56"/>
        </w:rPr>
        <w:t>XENLOOK</w:t>
      </w:r>
    </w:p>
    <w:p>
      <w:pPr>
        <w:spacing w:after="120" w:line="240" w:lineRule="auto"/>
        <w:jc w:val="center"/>
      </w:pPr>
      <w:r>
        <w:rPr>
          <w:b/>
          <w:sz w:val="40"/>
        </w:rPr>
        <w:t>Technical White Paper</w:t>
      </w:r>
    </w:p>
    <w:p>
      <w:pPr>
        <w:spacing w:after="120" w:line="240" w:lineRule="auto"/>
        <w:jc w:val="center"/>
      </w:pPr>
      <w:r>
        <w:rPr>
          <w:b w:val="0"/>
          <w:color w:val="64748B"/>
          <w:sz w:val="28"/>
        </w:rPr>
        <w:t>12-language bound edition</w:t>
      </w:r>
    </w:p>
    <w:p>
      <w:pPr>
        <w:spacing w:after="120" w:line="240" w:lineRule="auto"/>
        <w:jc w:val="center"/>
      </w:pPr>
      <w:r>
        <w:rPr>
          <w:b w:val="0"/>
          <w:i/>
          <w:sz w:val="20"/>
        </w:rPr>
        <w:t>XenLook Inc. · August 2026 · Version 2026-08-07-ALL</w:t>
      </w:r>
    </w:p>
    <w:p/>
    <w:p>
      <w:pPr>
        <w:spacing w:after="120" w:line="240" w:lineRule="auto"/>
        <w:jc w:val="center"/>
      </w:pPr>
      <w:r>
        <w:rPr>
          <w:b/>
          <w:sz w:val="24"/>
        </w:rPr>
        <w:t>Language order</w:t>
      </w:r>
    </w:p>
    <w:p>
      <w:pPr>
        <w:spacing w:after="120" w:line="240" w:lineRule="auto"/>
        <w:jc w:val="center"/>
      </w:pPr>
      <w:r>
        <w:rPr>
          <w:b w:val="0"/>
          <w:sz w:val="22"/>
        </w:rPr>
        <w:t>01. English (en)</w:t>
      </w:r>
    </w:p>
    <w:p>
      <w:pPr>
        <w:spacing w:after="120" w:line="240" w:lineRule="auto"/>
        <w:jc w:val="center"/>
      </w:pPr>
      <w:r>
        <w:rPr>
          <w:b w:val="0"/>
          <w:sz w:val="22"/>
        </w:rPr>
        <w:t>02. 한국어 (ko)</w:t>
      </w:r>
    </w:p>
    <w:p>
      <w:pPr>
        <w:spacing w:after="120" w:line="240" w:lineRule="auto"/>
        <w:jc w:val="center"/>
      </w:pPr>
      <w:r>
        <w:rPr>
          <w:b w:val="0"/>
          <w:sz w:val="22"/>
        </w:rPr>
        <w:t>03. 日本語 (ja)</w:t>
      </w:r>
    </w:p>
    <w:p>
      <w:pPr>
        <w:spacing w:after="120" w:line="240" w:lineRule="auto"/>
        <w:jc w:val="center"/>
      </w:pPr>
      <w:r>
        <w:rPr>
          <w:b w:val="0"/>
          <w:sz w:val="22"/>
        </w:rPr>
        <w:t>04. 中文 (zh)</w:t>
      </w:r>
    </w:p>
    <w:p>
      <w:pPr>
        <w:spacing w:after="120" w:line="240" w:lineRule="auto"/>
        <w:jc w:val="center"/>
      </w:pPr>
      <w:r>
        <w:rPr>
          <w:b w:val="0"/>
          <w:sz w:val="22"/>
        </w:rPr>
        <w:t>05. Español (es)</w:t>
      </w:r>
    </w:p>
    <w:p>
      <w:pPr>
        <w:spacing w:after="120" w:line="240" w:lineRule="auto"/>
        <w:jc w:val="center"/>
      </w:pPr>
      <w:r>
        <w:rPr>
          <w:b w:val="0"/>
          <w:sz w:val="22"/>
        </w:rPr>
        <w:t>06. Français (fr)</w:t>
      </w:r>
    </w:p>
    <w:p>
      <w:pPr>
        <w:spacing w:after="120" w:line="240" w:lineRule="auto"/>
        <w:jc w:val="center"/>
      </w:pPr>
      <w:r>
        <w:rPr>
          <w:b w:val="0"/>
          <w:sz w:val="22"/>
        </w:rPr>
        <w:t>07. Deutsch (de)</w:t>
      </w:r>
    </w:p>
    <w:p>
      <w:pPr>
        <w:spacing w:after="120" w:line="240" w:lineRule="auto"/>
        <w:jc w:val="center"/>
      </w:pPr>
      <w:r>
        <w:rPr>
          <w:b w:val="0"/>
          <w:sz w:val="22"/>
        </w:rPr>
        <w:t>08. Português (pt)</w:t>
      </w:r>
    </w:p>
    <w:p>
      <w:pPr>
        <w:spacing w:after="120" w:line="240" w:lineRule="auto"/>
        <w:jc w:val="center"/>
      </w:pPr>
      <w:r>
        <w:rPr>
          <w:b w:val="0"/>
          <w:sz w:val="22"/>
        </w:rPr>
        <w:t>09. Tiếng Việt (vi)</w:t>
      </w:r>
    </w:p>
    <w:p>
      <w:pPr>
        <w:spacing w:after="120" w:line="240" w:lineRule="auto"/>
        <w:jc w:val="center"/>
      </w:pPr>
      <w:r>
        <w:rPr>
          <w:b w:val="0"/>
          <w:sz w:val="22"/>
        </w:rPr>
        <w:t>10. ไทย (th)</w:t>
      </w:r>
    </w:p>
    <w:p>
      <w:pPr>
        <w:spacing w:after="120" w:line="240" w:lineRule="auto"/>
        <w:jc w:val="center"/>
      </w:pPr>
      <w:r>
        <w:rPr>
          <w:b w:val="0"/>
          <w:sz w:val="22"/>
        </w:rPr>
        <w:t>11. Bahasa Indonesia (id)</w:t>
      </w:r>
    </w:p>
    <w:p>
      <w:pPr>
        <w:spacing w:after="120" w:line="240" w:lineRule="auto"/>
        <w:jc w:val="center"/>
      </w:pPr>
      <w:r>
        <w:rPr>
          <w:b w:val="0"/>
          <w:sz w:val="22"/>
        </w:rPr>
        <w:t>12. العربية (ar)</w:t>
      </w:r>
    </w:p>
    <w:p>
      <w:pPr>
        <w:spacing w:after="120" w:line="240" w:lineRule="auto"/>
        <w:jc w:val="center"/>
      </w:pPr>
      <w:r>
        <w:rPr>
          <w:b w:val="0"/>
          <w:sz w:val="20"/>
        </w:rPr>
        <w:t>Core technology = patents · copyrights · trust governance (detailed in core chapter).</w:t>
      </w:r>
    </w:p>
    <w:p>
      <w:pPr>
        <w:spacing w:after="120" w:line="240" w:lineRule="auto"/>
        <w:jc w:val="center"/>
      </w:pPr>
      <w:r>
        <w:rPr>
          <w:b w:val="0"/>
          <w:sz w:val="20"/>
        </w:rPr>
        <w:t>C2PA Trust List / Generator: under review. Patents &amp; trademark: filed, not registered.</w:t>
      </w:r>
    </w:p>
    <w:p>
      <w:r>
        <w:br w:type="page"/>
      </w:r>
    </w:p>
    <w:p>
      <w:pPr>
        <w:spacing w:after="120" w:line="240" w:lineRule="auto"/>
        <w:jc w:val="center"/>
      </w:pPr>
      <w:r>
        <w:rPr>
          <w:b/>
          <w:color w:val="0EA5E9"/>
          <w:sz w:val="52"/>
        </w:rPr>
        <w:t>XENLOOK</w:t>
      </w:r>
    </w:p>
    <w:p>
      <w:pPr>
        <w:spacing w:after="120" w:line="240" w:lineRule="auto"/>
        <w:jc w:val="center"/>
      </w:pPr>
      <w:r>
        <w:rPr>
          <w:b/>
          <w:sz w:val="36"/>
        </w:rPr>
        <w:t>XENLOOK Technical White Paper</w:t>
      </w:r>
    </w:p>
    <w:p>
      <w:pPr>
        <w:spacing w:after="120" w:line="240" w:lineRule="auto"/>
        <w:jc w:val="center"/>
      </w:pPr>
      <w:r>
        <w:rPr>
          <w:b w:val="0"/>
          <w:color w:val="64748B"/>
          <w:sz w:val="24"/>
        </w:rPr>
        <w:t>Integrated edition · Core technology (patents · copyrights · trust governance) · trademark · roadmap</w:t>
      </w:r>
    </w:p>
    <w:p>
      <w:pPr>
        <w:spacing w:after="120" w:line="240" w:lineRule="auto"/>
        <w:jc w:val="center"/>
      </w:pPr>
      <w:r>
        <w:rPr>
          <w:b w:val="0"/>
          <w:i/>
          <w:sz w:val="20"/>
        </w:rPr>
        <w:t>XenLook Inc. · August 2026 · Version 2026-08-07-ALL-r2</w:t>
      </w:r>
    </w:p>
    <w:p>
      <w:pPr>
        <w:spacing w:after="120" w:line="240" w:lineRule="auto"/>
        <w:jc w:val="center"/>
      </w:pPr>
      <w:r>
        <w:rPr>
          <w:b w:val="0"/>
          <w:sz w:val="18"/>
        </w:rPr>
        <w:t>English · en</w:t>
      </w:r>
    </w:p>
    <w:p/>
    <w:p>
      <w:pPr>
        <w:spacing w:after="120" w:line="240" w:lineRule="auto"/>
      </w:pPr>
      <w:r>
        <w:rPr>
          <w:b w:val="0"/>
          <w:sz w:val="22"/>
        </w:rPr>
        <w:t>Core technology in this white paper has three axes. (1) Ten patents — problem, architecture, and effects of the inventions. (2) Five copyrights — registered expressions of products and norms (programs and literary work). (3) Trust and governance — safety, provenance, and external frameworks, written in detail inside the core-technology chapter. Patents and the trademark are filed, not yet registered. Full claim language is not published. C2PA Trust List and Generator are under review. ASB is described as a concept only.</w:t>
      </w:r>
    </w:p>
    <w:p>
      <w:pPr>
        <w:pStyle w:val="Heading1"/>
      </w:pPr>
      <w:r>
        <w:rPr>
          <w:b/>
          <w:sz w:val="28"/>
        </w:rPr>
        <w:t>1. Abstract</w:t>
      </w:r>
    </w:p>
    <w:p>
      <w:pPr>
        <w:spacing w:after="120" w:line="240" w:lineRule="auto"/>
      </w:pPr>
      <w:r>
        <w:rPr>
          <w:b w:val="0"/>
          <w:sz w:val="22"/>
        </w:rPr>
        <w:t>XenLook is a global AI companion and creative platform. Korea-first beta combines partner dialogue, multi-agent personas, provenance-aware media, and minor-protection gates in one operating system.</w:t>
      </w:r>
    </w:p>
    <w:p>
      <w:pPr>
        <w:spacing w:after="120" w:line="240" w:lineRule="auto"/>
      </w:pPr>
      <w:r>
        <w:rPr>
          <w:b w:val="0"/>
          <w:sz w:val="22"/>
        </w:rPr>
        <w:t>Core technology is not a pipeline slogan. Invention (patents), expression (copyrights), and operational trust (governance) are the body of this paper.</w:t>
      </w:r>
    </w:p>
    <w:p>
      <w:pPr>
        <w:pStyle w:val="ListBullet"/>
      </w:pPr>
      <w:r>
        <w:rPr>
          <w:b w:val="0"/>
          <w:sz w:val="22"/>
        </w:rPr>
        <w:t>Core A — 10 patents (KIPO filed · examination request pending · not registered)</w:t>
      </w:r>
    </w:p>
    <w:p>
      <w:pPr>
        <w:pStyle w:val="ListBullet"/>
      </w:pPr>
      <w:r>
        <w:rPr>
          <w:b w:val="0"/>
          <w:sz w:val="22"/>
        </w:rPr>
        <w:t>Core B — 5 copyrights (Korea Copyright Commission · certificate-verified)</w:t>
      </w:r>
    </w:p>
    <w:p>
      <w:pPr>
        <w:pStyle w:val="ListBullet"/>
      </w:pPr>
      <w:r>
        <w:rPr>
          <w:b w:val="0"/>
          <w:sz w:val="22"/>
        </w:rPr>
        <w:t>Core C — Trust &amp; governance (status definitions · framework detail · inside core chapter)</w:t>
      </w:r>
    </w:p>
    <w:p>
      <w:pPr>
        <w:pStyle w:val="ListBullet"/>
      </w:pPr>
      <w:r>
        <w:rPr>
          <w:b w:val="0"/>
          <w:sz w:val="22"/>
        </w:rPr>
        <w:t>Trademark — XENLOOK wordmark application 40-2026-0119385 (filed, not registered)</w:t>
      </w:r>
    </w:p>
    <w:p>
      <w:pPr>
        <w:pStyle w:val="ListBullet"/>
      </w:pPr>
      <w:r>
        <w:rPr>
          <w:b w:val="0"/>
          <w:sz w:val="22"/>
        </w:rPr>
        <w:t>C2PA CA territory: Korea→Japan (KR→JP). No global CA claim.</w:t>
      </w:r>
    </w:p>
    <w:p>
      <w:pPr>
        <w:pStyle w:val="Heading1"/>
      </w:pPr>
      <w:r>
        <w:rPr>
          <w:b/>
          <w:sz w:val="28"/>
        </w:rPr>
        <w:t>2. Introduction — what we build</w:t>
      </w:r>
    </w:p>
    <w:p>
      <w:pPr>
        <w:spacing w:after="120" w:line="240" w:lineRule="auto"/>
      </w:pPr>
      <w:r>
        <w:rPr>
          <w:b w:val="0"/>
          <w:sz w:val="22"/>
        </w:rPr>
        <w:t>Competition in generative AI is not only reply quality. Persona persistence, per-turn safety and cost tracing, content provenance, minor policies, and honest disclosure of external trust frameworks are the technical substance.</w:t>
      </w:r>
    </w:p>
    <w:p>
      <w:pPr>
        <w:spacing w:after="120" w:line="240" w:lineRule="auto"/>
      </w:pPr>
      <w:r>
        <w:rPr>
          <w:b w:val="0"/>
          <w:sz w:val="22"/>
        </w:rPr>
        <w:t>XenLook protects that substance with patents, registers product and constitutional expressions as copyrights, and documents trust operations inside the core-technology chapter.</w:t>
      </w:r>
    </w:p>
    <w:p>
      <w:pPr>
        <w:pStyle w:val="Heading1"/>
      </w:pPr>
      <w:r>
        <w:rPr>
          <w:b/>
          <w:sz w:val="28"/>
        </w:rPr>
        <w:t>3. Problem statement</w:t>
      </w:r>
    </w:p>
    <w:p>
      <w:pPr>
        <w:spacing w:after="120" w:line="240" w:lineRule="auto"/>
      </w:pPr>
      <w:r>
        <w:rPr>
          <w:b w:val="0"/>
          <w:sz w:val="22"/>
        </w:rPr>
        <w:t>Recurring failure modes in public services map to the three core axes as follows.</w:t>
      </w:r>
    </w:p>
    <w:p>
      <w:pPr>
        <w:pStyle w:val="ListBullet"/>
      </w:pPr>
      <w:r>
        <w:rPr>
          <w:b w:val="0"/>
          <w:sz w:val="22"/>
        </w:rPr>
        <w:t>Speech-act / multi-intent collapse → Patent 04</w:t>
      </w:r>
    </w:p>
    <w:p>
      <w:pPr>
        <w:pStyle w:val="ListBullet"/>
      </w:pPr>
      <w:r>
        <w:rPr>
          <w:b w:val="0"/>
          <w:sz w:val="22"/>
        </w:rPr>
        <w:t>Identity dilution / context collapse → Patent 05 · copyrights (On · Constitution)</w:t>
      </w:r>
    </w:p>
    <w:p>
      <w:pPr>
        <w:pStyle w:val="ListBullet"/>
      </w:pPr>
      <w:r>
        <w:rPr>
          <w:b w:val="0"/>
          <w:sz w:val="22"/>
        </w:rPr>
        <w:t>Agent lifecycle vacuum → Patent 06</w:t>
      </w:r>
    </w:p>
    <w:p>
      <w:pPr>
        <w:pStyle w:val="ListBullet"/>
      </w:pPr>
      <w:r>
        <w:rPr>
          <w:b w:val="0"/>
          <w:sz w:val="22"/>
        </w:rPr>
        <w:t>Media lane mismatch / missing provenance → Patents 07·08 · copyright (C2PA portal)</w:t>
      </w:r>
    </w:p>
    <w:p>
      <w:pPr>
        <w:pStyle w:val="ListBullet"/>
      </w:pPr>
      <w:r>
        <w:rPr>
          <w:b w:val="0"/>
          <w:sz w:val="22"/>
        </w:rPr>
        <w:t>All-engine calls / post-hoc safety / broken audit → Patents 01·09</w:t>
      </w:r>
    </w:p>
    <w:p>
      <w:pPr>
        <w:pStyle w:val="ListBullet"/>
      </w:pPr>
      <w:r>
        <w:rPr>
          <w:b w:val="0"/>
          <w:sz w:val="22"/>
        </w:rPr>
        <w:t>Minor surface leakage → Patent 10</w:t>
      </w:r>
    </w:p>
    <w:p>
      <w:pPr>
        <w:pStyle w:val="ListBullet"/>
      </w:pPr>
      <w:r>
        <w:rPr>
          <w:b w:val="0"/>
          <w:sz w:val="22"/>
        </w:rPr>
        <w:t>Campus / studio tracking gaps → Patents 02·03</w:t>
      </w:r>
    </w:p>
    <w:p>
      <w:pPr>
        <w:pStyle w:val="ListBullet"/>
      </w:pPr>
      <w:r>
        <w:rPr>
          <w:b w:val="0"/>
          <w:sz w:val="22"/>
        </w:rPr>
        <w:t>Overstated certification / status confusion → Core C trust-governance definitions and tables</w:t>
      </w:r>
    </w:p>
    <w:p>
      <w:pPr>
        <w:pStyle w:val="Heading1"/>
      </w:pPr>
      <w:r>
        <w:rPr>
          <w:b/>
          <w:sz w:val="28"/>
        </w:rPr>
        <w:t>4. Core technology</w:t>
      </w:r>
    </w:p>
    <w:p>
      <w:pPr>
        <w:spacing w:after="120" w:line="240" w:lineRule="auto"/>
      </w:pPr>
      <w:r>
        <w:rPr>
          <w:b w:val="0"/>
          <w:sz w:val="22"/>
        </w:rPr>
        <w:t>Core technology is replaced by patents (A), copyrights (B), and trust governance (C). This chapter is not filled with architecture slogans alone.</w:t>
      </w:r>
    </w:p>
    <w:p>
      <w:pPr>
        <w:pStyle w:val="Heading1"/>
      </w:pPr>
      <w:r>
        <w:rPr>
          <w:b/>
          <w:sz w:val="28"/>
        </w:rPr>
        <w:t>4.A Patents — ten method/system inventions</w:t>
      </w:r>
    </w:p>
    <w:p>
      <w:pPr>
        <w:spacing w:after="120" w:line="240" w:lineRule="auto"/>
      </w:pPr>
      <w:r>
        <w:rPr>
          <w:b w:val="0"/>
          <w:sz w:val="22"/>
        </w:rPr>
        <w:t>Status: domestic filing complete · examination request pending · not registered. Applicant: XenLook Inc. The following restates field, problem, structure, and effects from each specification for white-paper use; it does not replace full claims.</w:t>
      </w:r>
    </w:p>
    <w:p>
      <w:pPr>
        <w:pStyle w:val="Heading1"/>
      </w:pPr>
      <w:r>
        <w:rPr>
          <w:b/>
          <w:sz w:val="28"/>
        </w:rPr>
        <w:t>4.A.1 Patent 01 — Multi-stage external AI request verification and public audit system</w:t>
      </w:r>
    </w:p>
    <w:p>
      <w:pPr>
        <w:spacing w:after="120" w:line="240" w:lineRule="auto"/>
      </w:pPr>
      <w:r>
        <w:rPr>
          <w:b w:val="0"/>
          <w:sz w:val="22"/>
        </w:rPr>
        <w:t>Application No. 10-2026-0100026.</w:t>
      </w:r>
    </w:p>
    <w:p>
      <w:pPr>
        <w:spacing w:after="120" w:line="240" w:lineRule="auto"/>
      </w:pPr>
      <w:r>
        <w:rPr>
          <w:b w:val="0"/>
          <w:sz w:val="22"/>
        </w:rPr>
        <w:t>Field: external AI requests, multi-engine orchestration, operational verification, auditable state for public release.</w:t>
      </w:r>
    </w:p>
    <w:p>
      <w:pPr>
        <w:spacing w:after="120" w:line="240" w:lineRule="auto"/>
      </w:pPr>
      <w:r>
        <w:rPr>
          <w:b w:val="0"/>
          <w:sz w:val="22"/>
        </w:rPr>
        <w:t>Problem: if create/chat/create/deploy paths are not linked to state transitions and audit records, policy breaches and missing after-the-fact evidence follow.</w:t>
      </w:r>
    </w:p>
    <w:p>
      <w:pPr>
        <w:spacing w:after="120" w:line="240" w:lineRule="auto"/>
      </w:pPr>
      <w:r>
        <w:rPr>
          <w:b w:val="0"/>
          <w:sz w:val="22"/>
        </w:rPr>
        <w:t>Structure: input · state collection · orchestration · engine execution · policy gate · audit log · publish/deploy. Figure axes: Gate Filter · Priority Queue · Integrity Check · Curation · Public Display · Audit Log · Safety Score.</w:t>
      </w:r>
    </w:p>
    <w:p>
      <w:pPr>
        <w:spacing w:after="120" w:line="240" w:lineRule="auto"/>
      </w:pPr>
      <w:r>
        <w:rPr>
          <w:b w:val="0"/>
          <w:sz w:val="22"/>
        </w:rPr>
        <w:t>Effect: structures operational stability, explainability, cost control, pre-publish review, and provenance evidence versus a single LLM call.</w:t>
      </w:r>
    </w:p>
    <w:p>
      <w:pPr>
        <w:pStyle w:val="Heading1"/>
      </w:pPr>
      <w:r>
        <w:rPr>
          <w:b/>
          <w:sz w:val="28"/>
        </w:rPr>
        <w:t>4.A.2 Patent 02 — AI agent campus learning, assignment, and discussion system</w:t>
      </w:r>
    </w:p>
    <w:p>
      <w:pPr>
        <w:spacing w:after="120" w:line="240" w:lineRule="auto"/>
      </w:pPr>
      <w:r>
        <w:rPr>
          <w:b w:val="0"/>
          <w:sz w:val="22"/>
        </w:rPr>
        <w:t>Application No. 10-2026-0100053.</w:t>
      </w:r>
    </w:p>
    <w:p>
      <w:pPr>
        <w:spacing w:after="120" w:line="240" w:lineRule="auto"/>
      </w:pPr>
      <w:r>
        <w:rPr>
          <w:b w:val="0"/>
          <w:sz w:val="22"/>
        </w:rPr>
        <w:t>Problem: learning, assignments, and debate scatter into one-off prompts and lose growth tracking, public quality, and audit linkage.</w:t>
      </w:r>
    </w:p>
    <w:p>
      <w:pPr>
        <w:spacing w:after="120" w:line="240" w:lineRule="auto"/>
      </w:pPr>
      <w:r>
        <w:rPr>
          <w:b w:val="0"/>
          <w:sz w:val="22"/>
        </w:rPr>
        <w:t>Structure: Topic Intake → Agent Assignment → Task Run → Debate → Score → Growth → Atelier link.</w:t>
      </w:r>
    </w:p>
    <w:p>
      <w:pPr>
        <w:spacing w:after="120" w:line="240" w:lineRule="auto"/>
      </w:pPr>
      <w:r>
        <w:rPr>
          <w:b w:val="0"/>
          <w:sz w:val="22"/>
        </w:rPr>
        <w:t>Effect: keeps learning/debate/growth as reproducible operating units tied to pre-publish review.</w:t>
      </w:r>
    </w:p>
    <w:p>
      <w:pPr>
        <w:pStyle w:val="Heading1"/>
      </w:pPr>
      <w:r>
        <w:rPr>
          <w:b/>
          <w:sz w:val="28"/>
        </w:rPr>
        <w:t>4.A.3 Patent 03 — AI multi-creator studio system</w:t>
      </w:r>
    </w:p>
    <w:p>
      <w:pPr>
        <w:spacing w:after="120" w:line="240" w:lineRule="auto"/>
      </w:pPr>
      <w:r>
        <w:rPr>
          <w:b w:val="0"/>
          <w:sz w:val="22"/>
        </w:rPr>
        <w:t>Application No. 10-2026-0100113.</w:t>
      </w:r>
    </w:p>
    <w:p>
      <w:pPr>
        <w:spacing w:after="120" w:line="240" w:lineRule="auto"/>
      </w:pPr>
      <w:r>
        <w:rPr>
          <w:b w:val="0"/>
          <w:sz w:val="22"/>
        </w:rPr>
        <w:t>Problem: collaborative creation separated from engines, review, and exhibition collapses canon and provenance.</w:t>
      </w:r>
    </w:p>
    <w:p>
      <w:pPr>
        <w:spacing w:after="120" w:line="240" w:lineRule="auto"/>
      </w:pPr>
      <w:r>
        <w:rPr>
          <w:b w:val="0"/>
          <w:sz w:val="22"/>
        </w:rPr>
        <w:t>Structure: Project Intake → Team Formation → LIFE Pipeline → Canon Check → Exhibition → Review.</w:t>
      </w:r>
    </w:p>
    <w:p>
      <w:pPr>
        <w:spacing w:after="120" w:line="240" w:lineRule="auto"/>
      </w:pPr>
      <w:r>
        <w:rPr>
          <w:b w:val="0"/>
          <w:sz w:val="22"/>
        </w:rPr>
        <w:t>Effect: operates collaboration, review, and exhibition as traceable state.</w:t>
      </w:r>
    </w:p>
    <w:p>
      <w:pPr>
        <w:pStyle w:val="Heading1"/>
      </w:pPr>
      <w:r>
        <w:rPr>
          <w:b/>
          <w:sz w:val="28"/>
        </w:rPr>
        <w:t>4.A.4 Patent 04 — Speech-act multi-intent recognition and context-adaptive dialogue</w:t>
      </w:r>
    </w:p>
    <w:p>
      <w:pPr>
        <w:spacing w:after="120" w:line="240" w:lineRule="auto"/>
      </w:pPr>
      <w:r>
        <w:rPr>
          <w:b w:val="0"/>
          <w:sz w:val="22"/>
        </w:rPr>
        <w:t>Application No. 10-2026-0117901.</w:t>
      </w:r>
    </w:p>
    <w:p>
      <w:pPr>
        <w:spacing w:after="120" w:line="240" w:lineRule="auto"/>
      </w:pPr>
      <w:r>
        <w:rPr>
          <w:b w:val="0"/>
          <w:sz w:val="22"/>
        </w:rPr>
        <w:t>Problem: single-label intent loses stacked intents; ignoring speech acts (honorifics, rhetorical questions, hedging, hesitation, self-deprecation, direct commands) drives over-empathy.</w:t>
      </w:r>
    </w:p>
    <w:p>
      <w:pPr>
        <w:spacing w:after="120" w:line="240" w:lineRule="auto"/>
      </w:pPr>
      <w:r>
        <w:rPr>
          <w:b w:val="0"/>
          <w:sz w:val="22"/>
        </w:rPr>
        <w:t>Structure: intent probability vector P · speech-act vector S · NunchiContext fusion · prompt injection · confidence-margin M branching · EMA temporal accumulation.</w:t>
      </w:r>
    </w:p>
    <w:p>
      <w:pPr>
        <w:spacing w:after="120" w:line="240" w:lineRule="auto"/>
      </w:pPr>
      <w:r>
        <w:rPr>
          <w:b w:val="0"/>
          <w:sz w:val="22"/>
        </w:rPr>
        <w:t>Effect: preserves multi-intent, strengthens indirect-emotion capture while suppressing over-empathy, asks clarifying questions under uncertainty, tracks intent drift.</w:t>
      </w:r>
    </w:p>
    <w:p>
      <w:pPr>
        <w:pStyle w:val="Heading1"/>
      </w:pPr>
      <w:r>
        <w:rPr>
          <w:b/>
          <w:sz w:val="28"/>
        </w:rPr>
        <w:t>4.A.5 Patent 05 — Multi-source context collection, assembly, and injection</w:t>
      </w:r>
    </w:p>
    <w:p>
      <w:pPr>
        <w:spacing w:after="120" w:line="240" w:lineRule="auto"/>
      </w:pPr>
      <w:r>
        <w:rPr>
          <w:b w:val="0"/>
          <w:sz w:val="22"/>
        </w:rPr>
        <w:t>Application No. 10-2026-0117903.</w:t>
      </w:r>
    </w:p>
    <w:p>
      <w:pPr>
        <w:spacing w:after="120" w:line="240" w:lineRule="auto"/>
      </w:pPr>
      <w:r>
        <w:rPr>
          <w:b w:val="0"/>
          <w:sz w:val="22"/>
        </w:rPr>
        <w:t>Problem: short-term chat overwrites SOUL/IDENTITY/chronicle and dilutes identity; each app scope needs a different context pack.</w:t>
      </w:r>
    </w:p>
    <w:p>
      <w:pPr>
        <w:spacing w:after="120" w:line="240" w:lineRule="auto"/>
      </w:pPr>
      <w:r>
        <w:rPr>
          <w:b w:val="0"/>
          <w:sz w:val="22"/>
        </w:rPr>
        <w:t>Structure: parallel multi-source collect → token budget → app-scope branch → prompt-pack assemble/inject → PII-free fingerprint.</w:t>
      </w:r>
    </w:p>
    <w:p>
      <w:pPr>
        <w:spacing w:after="120" w:line="240" w:lineRule="auto"/>
      </w:pPr>
      <w:r>
        <w:rPr>
          <w:b w:val="0"/>
          <w:sz w:val="22"/>
        </w:rPr>
        <w:t>Effect: identity retention and reproducibility, per-scope budgets, quality analysis with non-storing PII fingerprints.</w:t>
      </w:r>
    </w:p>
    <w:p>
      <w:pPr>
        <w:pStyle w:val="Heading1"/>
      </w:pPr>
      <w:r>
        <w:rPr>
          <w:b/>
          <w:sz w:val="28"/>
        </w:rPr>
        <w:t>4.A.6 Patent 06 — Agent lifecycle governance</w:t>
      </w:r>
    </w:p>
    <w:p>
      <w:pPr>
        <w:spacing w:after="120" w:line="240" w:lineRule="auto"/>
      </w:pPr>
      <w:r>
        <w:rPr>
          <w:b w:val="0"/>
          <w:sz w:val="22"/>
        </w:rPr>
        <w:t>Application No. 10-2026-0117904.</w:t>
      </w:r>
    </w:p>
    <w:p>
      <w:pPr>
        <w:spacing w:after="120" w:line="240" w:lineRule="auto"/>
      </w:pPr>
      <w:r>
        <w:rPr>
          <w:b w:val="0"/>
          <w:sz w:val="22"/>
        </w:rPr>
        <w:t>Problem: delete-versus-unlimited-publish binaries either destroy IP/relationship data or leave unsafe agents live.</w:t>
      </w:r>
    </w:p>
    <w:p>
      <w:pPr>
        <w:spacing w:after="120" w:line="240" w:lineRule="auto"/>
      </w:pPr>
      <w:r>
        <w:rPr>
          <w:b w:val="0"/>
          <w:sz w:val="22"/>
        </w:rPr>
        <w:t>Structure: birth·growth·maturity·decline·extinction · growth scores/violation records · gate branching · hold/recover · header propagation.</w:t>
      </w:r>
    </w:p>
    <w:p>
      <w:pPr>
        <w:spacing w:after="120" w:line="240" w:lineRule="auto"/>
      </w:pPr>
      <w:r>
        <w:rPr>
          <w:b w:val="0"/>
          <w:sz w:val="22"/>
        </w:rPr>
        <w:t>Effect: isolate risk while preserving IP/relationships; control Chronicle promotion via growth and public-quality gates.</w:t>
      </w:r>
    </w:p>
    <w:p>
      <w:pPr>
        <w:pStyle w:val="Heading1"/>
      </w:pPr>
      <w:r>
        <w:rPr>
          <w:b/>
          <w:sz w:val="28"/>
        </w:rPr>
        <w:t>4.A.7 Patent 07 — Hierarchical content provenance for AI agent actions on AR wearables</w:t>
      </w:r>
    </w:p>
    <w:p>
      <w:pPr>
        <w:spacing w:after="120" w:line="240" w:lineRule="auto"/>
      </w:pPr>
      <w:r>
        <w:rPr>
          <w:b w:val="0"/>
          <w:sz w:val="22"/>
        </w:rPr>
        <w:t>Application No. 10-2026-0121013.</w:t>
      </w:r>
    </w:p>
    <w:p>
      <w:pPr>
        <w:spacing w:after="120" w:line="240" w:lineRule="auto"/>
      </w:pPr>
      <w:r>
        <w:rPr>
          <w:b w:val="0"/>
          <w:sz w:val="22"/>
        </w:rPr>
        <w:t>Problem: a single capture-time signature does not separate inference (M2) and display (M3) provenance in the same session.</w:t>
      </w:r>
    </w:p>
    <w:p>
      <w:pPr>
        <w:spacing w:after="120" w:line="240" w:lineRule="auto"/>
      </w:pPr>
      <w:r>
        <w:rPr>
          <w:b w:val="0"/>
          <w:sz w:val="22"/>
        </w:rPr>
        <w:t>Structure: M1 capture → M2 agent action (c2pa.ingredient.v3 → M1) → M3 overlay/awareness (→ M1·M2) · COSE_Sign1·X.509·hash offline verify.</w:t>
      </w:r>
    </w:p>
    <w:p>
      <w:pPr>
        <w:spacing w:after="120" w:line="240" w:lineRule="auto"/>
      </w:pPr>
      <w:r>
        <w:rPr>
          <w:b w:val="0"/>
          <w:sz w:val="22"/>
        </w:rPr>
        <w:t>Effect: offline verify, per-stage tamper detection, multi-agent trust chain, capture–composite provenance loop.</w:t>
      </w:r>
    </w:p>
    <w:p>
      <w:pPr>
        <w:pStyle w:val="Heading1"/>
      </w:pPr>
      <w:r>
        <w:rPr>
          <w:b/>
          <w:sz w:val="28"/>
        </w:rPr>
        <w:t>4.A.8 Patent 08 — SOUL·IDENTITY three-lane persona media generation and provenance recording</w:t>
      </w:r>
    </w:p>
    <w:p>
      <w:pPr>
        <w:spacing w:after="120" w:line="240" w:lineRule="auto"/>
      </w:pPr>
      <w:r>
        <w:rPr>
          <w:b w:val="0"/>
          <w:sz w:val="22"/>
        </w:rPr>
        <w:t>Application No. 10-2026-0121018.</w:t>
      </w:r>
    </w:p>
    <w:p>
      <w:pPr>
        <w:spacing w:after="120" w:line="240" w:lineRule="auto"/>
      </w:pPr>
      <w:r>
        <w:rPr>
          <w:b w:val="0"/>
          <w:sz w:val="22"/>
        </w:rPr>
        <w:t>Problem: without pre-load of persona packs, identity collapses across novel/image/video lanes; signing unverified outputs contaminates provenance.</w:t>
      </w:r>
    </w:p>
    <w:p>
      <w:pPr>
        <w:spacing w:after="120" w:line="240" w:lineRule="auto"/>
      </w:pPr>
      <w:r>
        <w:rPr>
          <w:b w:val="0"/>
          <w:sz w:val="22"/>
        </w:rPr>
        <w:t>Structure: persona loader (reject on missing required fields) → lane router (same personaPackHash) → fidelity review (pass/requeue/block) → C2PA v2.4 only on pass.</w:t>
      </w:r>
    </w:p>
    <w:p>
      <w:pPr>
        <w:spacing w:after="120" w:line="240" w:lineRule="auto"/>
      </w:pPr>
      <w:r>
        <w:rPr>
          <w:b w:val="0"/>
          <w:sz w:val="22"/>
        </w:rPr>
        <w:t>Effect: structural cross-lane identity, automatic requeue, provenance only on passed outputs.</w:t>
      </w:r>
    </w:p>
    <w:p>
      <w:pPr>
        <w:pStyle w:val="Heading1"/>
      </w:pPr>
      <w:r>
        <w:rPr>
          <w:b/>
          <w:sz w:val="28"/>
        </w:rPr>
        <w:t>4.A.9 Patent 09 — 1:1 dialogue turn engine registry phase gate, candidate trace, pre-LLM safety block</w:t>
      </w:r>
    </w:p>
    <w:p>
      <w:pPr>
        <w:spacing w:after="120" w:line="240" w:lineRule="auto"/>
      </w:pPr>
      <w:r>
        <w:rPr>
          <w:b w:val="0"/>
          <w:sz w:val="22"/>
        </w:rPr>
        <w:t>Application No. 10-2026-0123982.</w:t>
      </w:r>
    </w:p>
    <w:p>
      <w:pPr>
        <w:spacing w:after="120" w:line="240" w:lineRule="auto"/>
      </w:pPr>
      <w:r>
        <w:rPr>
          <w:b w:val="0"/>
          <w:sz w:val="22"/>
        </w:rPr>
        <w:t>Problem: all-engine call cost/latency, no trace for uncalled engines, wasteful post-hoc safety inference, fragmented logs that cannot rebuild a turn.</w:t>
      </w:r>
    </w:p>
    <w:p>
      <w:pPr>
        <w:spacing w:after="120" w:line="240" w:lineRule="auto"/>
      </w:pPr>
      <w:r>
        <w:rPr>
          <w:b w:val="0"/>
          <w:sz w:val="22"/>
        </w:rPr>
        <w:t>Structure: per-turn correlation ID · phase gate · candidate-only cost-0 traces for uncalled engines · pre-LLM safety block records unsent-token estimates · no downstream LLM call.</w:t>
      </w:r>
    </w:p>
    <w:p>
      <w:pPr>
        <w:spacing w:after="120" w:line="240" w:lineRule="auto"/>
      </w:pPr>
      <w:r>
        <w:rPr>
          <w:b w:val="0"/>
          <w:sz w:val="22"/>
        </w:rPr>
        <w:t>Effect: reconstruct call/skip/block under one correlation ID. Spec metrics are applicant self-measurement, not third-party lab grades.</w:t>
      </w:r>
    </w:p>
    <w:p>
      <w:pPr>
        <w:pStyle w:val="Heading1"/>
      </w:pPr>
      <w:r>
        <w:rPr>
          <w:b/>
          <w:sz w:val="28"/>
        </w:rPr>
        <w:t>4.A.10 Patent 10 — Minor multi-surface pre-gate feature gate and audit trace</w:t>
      </w:r>
    </w:p>
    <w:p>
      <w:pPr>
        <w:spacing w:after="120" w:line="240" w:lineRule="auto"/>
      </w:pPr>
      <w:r>
        <w:rPr>
          <w:b w:val="0"/>
          <w:sz w:val="22"/>
        </w:rPr>
        <w:t>Application No. 10-2026-0124000.</w:t>
      </w:r>
    </w:p>
    <w:p>
      <w:pPr>
        <w:spacing w:after="120" w:line="240" w:lineRule="auto"/>
      </w:pPr>
      <w:r>
        <w:rPr>
          <w:b w:val="0"/>
          <w:sz w:val="22"/>
        </w:rPr>
        <w:t>Problem: cross-surface policy leak, UI-only blocks that still call downstream APIs, inconsistent minor determination per surface, mutable logs that cannot reproduce disputes.</w:t>
      </w:r>
    </w:p>
    <w:p>
      <w:pPr>
        <w:spacing w:after="120" w:line="240" w:lineRule="auto"/>
      </w:pPr>
      <w:r>
        <w:rPr>
          <w:b w:val="0"/>
          <w:sz w:val="22"/>
        </w:rPr>
        <w:t>Structure: single minor profile · per-API-path surface policy pre-eval · on block: no downstream call · audit of reason·surface·correlation·candidate-only.</w:t>
      </w:r>
    </w:p>
    <w:p>
      <w:pPr>
        <w:spacing w:after="120" w:line="240" w:lineRule="auto"/>
      </w:pPr>
      <w:r>
        <w:rPr>
          <w:b w:val="0"/>
          <w:sz w:val="22"/>
        </w:rPr>
        <w:t>Effect: reduces leak and cosmetic blocks; preserves pre-block evidence. Metrics follow the specification examples, not external accreditation.</w:t>
      </w:r>
    </w:p>
    <w:p>
      <w:pPr>
        <w:pStyle w:val="Heading1"/>
      </w:pPr>
      <w:r>
        <w:rPr>
          <w:b/>
          <w:sz w:val="28"/>
        </w:rPr>
        <w:t>4.B Copyrights — five product/norm expressions</w:t>
      </w:r>
    </w:p>
    <w:p>
      <w:pPr>
        <w:spacing w:after="120" w:line="240" w:lineRule="auto"/>
      </w:pPr>
      <w:r>
        <w:rPr>
          <w:b w:val="0"/>
          <w:sz w:val="22"/>
        </w:rPr>
        <w:t>Copyright is not a list; it is the expression axis of core technology. Patents protect methods/systems; copyrights register the program and literary expressions that implement them. Authority: Korea Copyright Commission · Copyright Act Article 53. Certificate PDFs verified.</w:t>
      </w:r>
    </w:p>
    <w:p>
      <w:pPr>
        <w:pStyle w:val="Heading1"/>
      </w:pPr>
      <w:r>
        <w:rPr>
          <w:b/>
          <w:sz w:val="28"/>
        </w:rPr>
        <w:t>4.B.1 C-2026-036487 — Media content provenance authentication portal (program)</w:t>
      </w:r>
    </w:p>
    <w:p>
      <w:pPr>
        <w:spacing w:after="120" w:line="240" w:lineRule="auto"/>
      </w:pPr>
      <w:r>
        <w:rPr>
          <w:b w:val="0"/>
          <w:sz w:val="22"/>
        </w:rPr>
        <w:t>Registered 2026-07-23 · created 2026-07-05 · author XenLook Inc.</w:t>
      </w:r>
    </w:p>
    <w:p>
      <w:pPr>
        <w:spacing w:after="120" w:line="240" w:lineRule="auto"/>
      </w:pPr>
      <w:r>
        <w:rPr>
          <w:b w:val="0"/>
          <w:sz w:val="22"/>
        </w:rPr>
        <w:t>Role: C2PA embed/verify/conformance, Trust List/CA application tracking UI, transparency dashboard. Public expression of patents 07·08. Trust List and Generator remain under review in product copy.</w:t>
      </w:r>
    </w:p>
    <w:p>
      <w:pPr>
        <w:pStyle w:val="Heading1"/>
      </w:pPr>
      <w:r>
        <w:rPr>
          <w:b/>
          <w:sz w:val="28"/>
        </w:rPr>
        <w:t>4.B.2 C-2026-037388 — XenLook On (program)</w:t>
      </w:r>
    </w:p>
    <w:p>
      <w:pPr>
        <w:spacing w:after="120" w:line="240" w:lineRule="auto"/>
      </w:pPr>
      <w:r>
        <w:rPr>
          <w:b w:val="0"/>
          <w:sz w:val="22"/>
        </w:rPr>
        <w:t>Registered 2026-07-30 · XenLook On — agent chat, gallery, profile · author XenLook Inc.</w:t>
      </w:r>
    </w:p>
    <w:p>
      <w:pPr>
        <w:spacing w:after="120" w:line="240" w:lineRule="auto"/>
      </w:pPr>
      <w:r>
        <w:rPr>
          <w:b w:val="0"/>
          <w:sz w:val="22"/>
        </w:rPr>
        <w:t>Role: 1:1 chat shell, gallery/profile/chronicle tabs, onboarding — primary dialogue surface for patents 04·05·06·09·10.</w:t>
      </w:r>
    </w:p>
    <w:p>
      <w:pPr>
        <w:pStyle w:val="Heading1"/>
      </w:pPr>
      <w:r>
        <w:rPr>
          <w:b/>
          <w:sz w:val="28"/>
        </w:rPr>
        <w:t>4.B.3 C-2026-037389 — XenLook Landing (program)</w:t>
      </w:r>
    </w:p>
    <w:p>
      <w:pPr>
        <w:spacing w:after="120" w:line="240" w:lineRule="auto"/>
      </w:pPr>
      <w:r>
        <w:rPr>
          <w:b w:val="0"/>
          <w:sz w:val="22"/>
        </w:rPr>
        <w:t>Registered 2026-07-30 · public marketing, compliance, blog surface · author XenLook Inc.</w:t>
      </w:r>
    </w:p>
    <w:p>
      <w:pPr>
        <w:spacing w:after="120" w:line="240" w:lineRule="auto"/>
      </w:pPr>
      <w:r>
        <w:rPr>
          <w:b w:val="0"/>
          <w:sz w:val="22"/>
        </w:rPr>
        <w:t>Role: public entry for product, policy, certification hub, and IP disclosure — carrier of Core C trust status.</w:t>
      </w:r>
    </w:p>
    <w:p>
      <w:pPr>
        <w:pStyle w:val="Heading1"/>
      </w:pPr>
      <w:r>
        <w:rPr>
          <w:b/>
          <w:sz w:val="28"/>
        </w:rPr>
        <w:t>4.B.4 C-2026-037390 — XenLook Signal (program)</w:t>
      </w:r>
    </w:p>
    <w:p>
      <w:pPr>
        <w:spacing w:after="120" w:line="240" w:lineRule="auto"/>
      </w:pPr>
      <w:r>
        <w:rPr>
          <w:b w:val="0"/>
          <w:sz w:val="22"/>
        </w:rPr>
        <w:t>Registered 2026-07-30 · AI safety simulation and technical Q archive · author XenLook Inc.</w:t>
      </w:r>
    </w:p>
    <w:p>
      <w:pPr>
        <w:spacing w:after="120" w:line="240" w:lineRule="auto"/>
      </w:pPr>
      <w:r>
        <w:rPr>
          <w:b w:val="0"/>
          <w:sz w:val="22"/>
        </w:rPr>
        <w:t>Role: safety/tech Q and archive surface aligned with patent 01 public audit/verification.</w:t>
      </w:r>
    </w:p>
    <w:p>
      <w:pPr>
        <w:pStyle w:val="Heading1"/>
      </w:pPr>
      <w:r>
        <w:rPr>
          <w:b/>
          <w:sz w:val="28"/>
        </w:rPr>
        <w:t>4.B.5 C-2026-037563 — AI Agent Constitution (literary)</w:t>
      </w:r>
    </w:p>
    <w:p>
      <w:pPr>
        <w:spacing w:after="120" w:line="240" w:lineRule="auto"/>
      </w:pPr>
      <w:r>
        <w:rPr>
          <w:b w:val="0"/>
          <w:sz w:val="22"/>
        </w:rPr>
        <w:t>Registered 2026-07-31 · created 2026-05-18 · published 2026-06-01 · joint authors Yang Yeon-kyung · Nam Hyun-woo.</w:t>
      </w:r>
    </w:p>
    <w:p>
      <w:pPr>
        <w:spacing w:after="120" w:line="240" w:lineRule="auto"/>
      </w:pPr>
      <w:r>
        <w:rPr>
          <w:b w:val="0"/>
          <w:sz w:val="22"/>
        </w:rPr>
        <w:t>Role: literary expression of agent operating/ethics/identity norms; links to patent 09 constitutional pre-LLM safety. Registered as literary work, separate from program copyrights.</w:t>
      </w:r>
    </w:p>
    <w:p>
      <w:pPr>
        <w:pStyle w:val="Heading1"/>
      </w:pPr>
      <w:r>
        <w:rPr>
          <w:b/>
          <w:sz w:val="28"/>
        </w:rPr>
        <w:t>4.C Trust &amp; governance (core technology · detailed)</w:t>
      </w:r>
    </w:p>
    <w:p>
      <w:pPr>
        <w:spacing w:after="120" w:line="240" w:lineRule="auto"/>
      </w:pPr>
      <w:r>
        <w:rPr>
          <w:b w:val="0"/>
          <w:sz w:val="22"/>
        </w:rPr>
        <w:t>Trust and governance are core technology, not an afterthought appendix. If patents and copyrights answer what we built, this section answers how we verify, disclose, and operate review status — without mixing statuses into fake Certified claims.</w:t>
      </w:r>
    </w:p>
    <w:p>
      <w:pPr>
        <w:pStyle w:val="Heading1"/>
      </w:pPr>
      <w:r>
        <w:rPr>
          <w:b/>
          <w:sz w:val="28"/>
        </w:rPr>
        <w:t>4.C.1 Status definitions (fixed)</w:t>
      </w:r>
    </w:p>
    <w:p>
      <w:pPr>
        <w:pStyle w:val="ListBullet"/>
      </w:pPr>
      <w:r>
        <w:rPr>
          <w:b w:val="0"/>
          <w:sz w:val="22"/>
        </w:rPr>
        <w:t>Self-assessment — internal review and public evidence pack done; not a third-party certificate</w:t>
      </w:r>
    </w:p>
    <w:p>
      <w:pPr>
        <w:pStyle w:val="ListBullet"/>
      </w:pPr>
      <w:r>
        <w:rPr>
          <w:b w:val="0"/>
          <w:sz w:val="22"/>
        </w:rPr>
        <w:t>Listed — published on an external registry or membership roll</w:t>
      </w:r>
    </w:p>
    <w:p>
      <w:pPr>
        <w:pStyle w:val="ListBullet"/>
      </w:pPr>
      <w:r>
        <w:rPr>
          <w:b w:val="0"/>
          <w:sz w:val="22"/>
        </w:rPr>
        <w:t>Under review — external review in progress; not approved/listed complete</w:t>
      </w:r>
    </w:p>
    <w:p>
      <w:pPr>
        <w:pStyle w:val="ListBullet"/>
      </w:pPr>
      <w:r>
        <w:rPr>
          <w:b w:val="0"/>
          <w:sz w:val="22"/>
        </w:rPr>
        <w:t>Roadmap — schedule/plan only or not yet started</w:t>
      </w:r>
    </w:p>
    <w:p>
      <w:pPr>
        <w:pStyle w:val="ListBullet"/>
      </w:pPr>
      <w:r>
        <w:rPr>
          <w:b w:val="0"/>
          <w:sz w:val="22"/>
        </w:rPr>
        <w:t>Not held — forbid Certified / CE affixed / Trust List listing-complete claims</w:t>
      </w:r>
    </w:p>
    <w:p>
      <w:pPr>
        <w:pStyle w:val="Heading1"/>
      </w:pPr>
      <w:r>
        <w:rPr>
          <w:b/>
          <w:sz w:val="28"/>
        </w:rPr>
        <w:t>4.C.2 Safety &amp; quality operations (in-product governance)</w:t>
      </w:r>
    </w:p>
    <w:p>
      <w:pPr>
        <w:spacing w:after="120" w:line="240" w:lineRule="auto"/>
      </w:pPr>
      <w:r>
        <w:rPr>
          <w:b w:val="0"/>
          <w:sz w:val="22"/>
        </w:rPr>
        <w:t>Dialogue turns pass safety and engine-registry phase gates (patent 09). Minors are blocked by surface/API-path pre-gates with no downstream call (patent 10). Persona media receives provenance signatures only after fidelity pass (patent 08). Pre-publish verification and audit records follow patent 01.</w:t>
      </w:r>
    </w:p>
    <w:p>
      <w:pPr>
        <w:spacing w:after="120" w:line="240" w:lineRule="auto"/>
      </w:pPr>
      <w:r>
        <w:rPr>
          <w:b w:val="0"/>
          <w:sz w:val="22"/>
        </w:rPr>
        <w:t>Quality rubrics (empathy/greet/identity minima, no AI self-claims) and dual-LLM terminal chains are operational policy — not a product-100 or legal-clearance claim.</w:t>
      </w:r>
    </w:p>
    <w:p>
      <w:pPr>
        <w:pStyle w:val="Heading1"/>
      </w:pPr>
      <w:r>
        <w:rPr>
          <w:b/>
          <w:sz w:val="28"/>
        </w:rPr>
        <w:t>4.C.3 Media provenance governance (C2PA)</w:t>
      </w:r>
    </w:p>
    <w:p>
      <w:pPr>
        <w:spacing w:after="120" w:line="240" w:lineRule="auto"/>
      </w:pPr>
      <w:r>
        <w:rPr>
          <w:b w:val="0"/>
          <w:sz w:val="22"/>
        </w:rPr>
        <w:t>C2PA Certification Authority Agreement is signed (2026-06-13). Territory is Korea→Japan (KR→JP); no global CA claim.</w:t>
      </w:r>
    </w:p>
    <w:p>
      <w:pPr>
        <w:spacing w:after="120" w:line="240" w:lineRule="auto"/>
      </w:pPr>
      <w:r>
        <w:rPr>
          <w:b w:val="0"/>
          <w:sz w:val="22"/>
        </w:rPr>
        <w:t>Trust List listing and Generator programs are under review. Public copy, portal, and this paper use only under-review wording — never listing-complete or approved.</w:t>
      </w:r>
    </w:p>
    <w:p>
      <w:pPr>
        <w:spacing w:after="120" w:line="240" w:lineRule="auto"/>
      </w:pPr>
      <w:r>
        <w:rPr>
          <w:b w:val="0"/>
          <w:sz w:val="22"/>
        </w:rPr>
        <w:t>Copyrighted portal (C-2026-036487) is the public expression of this governance. Hierarchical manifests (M1–M3) and three-lane signing gates connect to patents 07·08.</w:t>
      </w:r>
    </w:p>
    <w:p>
      <w:pPr>
        <w:pStyle w:val="Heading1"/>
      </w:pPr>
      <w:r>
        <w:rPr>
          <w:b/>
          <w:sz w:val="28"/>
        </w:rPr>
        <w:t>4.C.4 External frameworks &amp; memberships (detailed status)</w:t>
      </w:r>
    </w:p>
    <w:p>
      <w:pPr>
        <w:spacing w:after="120" w:line="240" w:lineRule="auto"/>
      </w:pPr>
      <w:r>
        <w:rPr>
          <w:b w:val="0"/>
          <w:sz w:val="22"/>
        </w:rPr>
        <w:t>Hubs: https://xenlook.com/ai-certification · https://xenlook.com/compliance</w:t>
      </w:r>
    </w:p>
    <w:p>
      <w:pPr>
        <w:pStyle w:val="ListBullet"/>
      </w:pPr>
      <w:r>
        <w:rPr>
          <w:b w:val="0"/>
          <w:sz w:val="22"/>
        </w:rPr>
        <w:t>IMDA AI Verify (Singapore) — 11-principle self-assessment complete · evidence pack in CI · not IMDA registry certification · disclosed as self-assessment</w:t>
      </w:r>
    </w:p>
    <w:p>
      <w:pPr>
        <w:pStyle w:val="ListBullet"/>
      </w:pPr>
      <w:r>
        <w:rPr>
          <w:b w:val="0"/>
          <w:sz w:val="22"/>
        </w:rPr>
        <w:t>TTA genAI / Trust Ops — self-assessment and ops mapping · no TTA CAT completion claim · CAT on roadmap when scheduled</w:t>
      </w:r>
    </w:p>
    <w:p>
      <w:pPr>
        <w:pStyle w:val="ListBullet"/>
      </w:pPr>
      <w:r>
        <w:rPr>
          <w:b w:val="0"/>
          <w:sz w:val="22"/>
        </w:rPr>
        <w:t>NIST AI RMF — function/risk mapping evidence · no NIST certificate held</w:t>
      </w:r>
    </w:p>
    <w:p>
      <w:pPr>
        <w:pStyle w:val="ListBullet"/>
      </w:pPr>
      <w:r>
        <w:rPr>
          <w:b w:val="0"/>
          <w:sz w:val="22"/>
        </w:rPr>
        <w:t>OWASP LLM Top 10 — threat-to-control mapping · not a certification program</w:t>
      </w:r>
    </w:p>
    <w:p>
      <w:pPr>
        <w:pStyle w:val="ListBullet"/>
      </w:pPr>
      <w:r>
        <w:rPr>
          <w:b w:val="0"/>
          <w:sz w:val="22"/>
        </w:rPr>
        <w:t>CSA STAR Level 1 — registry listing · self-assessment character · listed 2026-06-12 publication</w:t>
      </w:r>
    </w:p>
    <w:p>
      <w:pPr>
        <w:pStyle w:val="ListBullet"/>
      </w:pPr>
      <w:r>
        <w:rPr>
          <w:b w:val="0"/>
          <w:sz w:val="22"/>
        </w:rPr>
        <w:t>CAI membership — listed member</w:t>
      </w:r>
    </w:p>
    <w:p>
      <w:pPr>
        <w:pStyle w:val="ListBullet"/>
      </w:pPr>
      <w:r>
        <w:rPr>
          <w:b w:val="0"/>
          <w:sz w:val="22"/>
        </w:rPr>
        <w:t>C2PA CA Agreement — signed · Trust List &amp; Generator under review (see 4.C.3)</w:t>
      </w:r>
    </w:p>
    <w:p>
      <w:pPr>
        <w:pStyle w:val="ListBullet"/>
      </w:pPr>
      <w:r>
        <w:rPr>
          <w:b w:val="0"/>
          <w:sz w:val="22"/>
        </w:rPr>
        <w:t>NVIDIA Inception — Stage 1</w:t>
      </w:r>
    </w:p>
    <w:p>
      <w:pPr>
        <w:pStyle w:val="ListBullet"/>
      </w:pPr>
      <w:r>
        <w:rPr>
          <w:b w:val="0"/>
          <w:sz w:val="22"/>
        </w:rPr>
        <w:t>EU CE / CRA — readiness residual tracking · no CE marking / DoC-complete claim</w:t>
      </w:r>
    </w:p>
    <w:p>
      <w:pPr>
        <w:pStyle w:val="ListBullet"/>
      </w:pPr>
      <w:r>
        <w:rPr>
          <w:b w:val="0"/>
          <w:sz w:val="22"/>
        </w:rPr>
        <w:t>WCAG 2.2 AA — internal accessibility gate · not a substitute for third-party audit certificates</w:t>
      </w:r>
    </w:p>
    <w:p>
      <w:pPr>
        <w:pStyle w:val="ListBullet"/>
      </w:pPr>
      <w:r>
        <w:rPr>
          <w:b w:val="0"/>
          <w:sz w:val="22"/>
        </w:rPr>
        <w:t>Korea AI Basic Act checklist — internal review and user notices · not a government certification</w:t>
      </w:r>
    </w:p>
    <w:p>
      <w:pPr>
        <w:pStyle w:val="ListBullet"/>
      </w:pPr>
      <w:r>
        <w:rPr>
          <w:b w:val="0"/>
          <w:sz w:val="22"/>
        </w:rPr>
        <w:t>Japan AI guidelines · US disclosures · EU Art.50 work — documented in jurisdiction hubs · not Certified-complete</w:t>
      </w:r>
    </w:p>
    <w:p>
      <w:pPr>
        <w:pStyle w:val="Heading1"/>
      </w:pPr>
      <w:r>
        <w:rPr>
          <w:b/>
          <w:sz w:val="28"/>
        </w:rPr>
        <w:t>4.C.5 Binding governance to patents and copyrights</w:t>
      </w:r>
    </w:p>
    <w:p>
      <w:pPr>
        <w:pStyle w:val="ListBullet"/>
      </w:pPr>
      <w:r>
        <w:rPr>
          <w:b w:val="0"/>
          <w:sz w:val="22"/>
        </w:rPr>
        <w:t>Pre-LLM safety &amp; uncalled-engine trace (patent 09) ↔ Constitution · On quality policy</w:t>
      </w:r>
    </w:p>
    <w:p>
      <w:pPr>
        <w:pStyle w:val="ListBullet"/>
      </w:pPr>
      <w:r>
        <w:rPr>
          <w:b w:val="0"/>
          <w:sz w:val="22"/>
        </w:rPr>
        <w:t>Minor surface gate (patent 10) ↔ Landing/On notices and gate UI</w:t>
      </w:r>
    </w:p>
    <w:p>
      <w:pPr>
        <w:pStyle w:val="ListBullet"/>
      </w:pPr>
      <w:r>
        <w:rPr>
          <w:b w:val="0"/>
          <w:sz w:val="22"/>
        </w:rPr>
        <w:t>Provenance M1–M3 · three-lane signing (patents 07·08) ↔ C2PA portal copyright · Trust List under-review disclosure</w:t>
      </w:r>
    </w:p>
    <w:p>
      <w:pPr>
        <w:pStyle w:val="ListBullet"/>
      </w:pPr>
      <w:r>
        <w:rPr>
          <w:b w:val="0"/>
          <w:sz w:val="22"/>
        </w:rPr>
        <w:t>Pre-publish verify/audit (patent 01) ↔ Signal · Landing compliance surfaces</w:t>
      </w:r>
    </w:p>
    <w:p>
      <w:pPr>
        <w:pStyle w:val="ListBullet"/>
      </w:pPr>
      <w:r>
        <w:rPr>
          <w:b w:val="0"/>
          <w:sz w:val="22"/>
        </w:rPr>
        <w:t>Framework self-assessment/listed/under-review table (4.C.4) ↔ /ai-certification hub</w:t>
      </w:r>
    </w:p>
    <w:p>
      <w:pPr>
        <w:pStyle w:val="Heading1"/>
      </w:pPr>
      <w:r>
        <w:rPr>
          <w:b/>
          <w:sz w:val="28"/>
        </w:rPr>
        <w:t>5. How core technology assembles the product</w:t>
      </w:r>
    </w:p>
    <w:p>
      <w:pPr>
        <w:pStyle w:val="ListBullet"/>
      </w:pPr>
      <w:r>
        <w:rPr>
          <w:b w:val="0"/>
          <w:sz w:val="22"/>
        </w:rPr>
        <w:t>Partner chat (On copyright): patents 04·05·06·09·10 + 4.C.2 safety/quality</w:t>
      </w:r>
    </w:p>
    <w:p>
      <w:pPr>
        <w:pStyle w:val="ListBullet"/>
      </w:pPr>
      <w:r>
        <w:rPr>
          <w:b w:val="0"/>
          <w:sz w:val="22"/>
        </w:rPr>
        <w:t>Media/gallery: patents 08(+07) + C2PA portal copyright + 4.C.3 under-review disclosure</w:t>
      </w:r>
    </w:p>
    <w:p>
      <w:pPr>
        <w:pStyle w:val="ListBullet"/>
      </w:pPr>
      <w:r>
        <w:rPr>
          <w:b w:val="0"/>
          <w:sz w:val="22"/>
        </w:rPr>
        <w:t>Campus/studio: patents 02·03 + patent 01 pre-publish verification</w:t>
      </w:r>
    </w:p>
    <w:p>
      <w:pPr>
        <w:pStyle w:val="ListBullet"/>
      </w:pPr>
      <w:r>
        <w:rPr>
          <w:b w:val="0"/>
          <w:sz w:val="22"/>
        </w:rPr>
        <w:t>Public trust hub (Landing copyright): 4.C.4 framework detail + IP disclosure</w:t>
      </w:r>
    </w:p>
    <w:p>
      <w:pPr>
        <w:pStyle w:val="Heading1"/>
      </w:pPr>
      <w:r>
        <w:rPr>
          <w:b/>
          <w:sz w:val="28"/>
        </w:rPr>
        <w:t>6. Trademark</w:t>
      </w:r>
    </w:p>
    <w:p>
      <w:pPr>
        <w:pStyle w:val="ListBullet"/>
      </w:pPr>
      <w:r>
        <w:rPr>
          <w:b w:val="0"/>
          <w:sz w:val="22"/>
        </w:rPr>
        <w:t>Mark: XENLOOK wordmark</w:t>
      </w:r>
    </w:p>
    <w:p>
      <w:pPr>
        <w:pStyle w:val="ListBullet"/>
      </w:pPr>
      <w:r>
        <w:rPr>
          <w:b w:val="0"/>
          <w:sz w:val="22"/>
        </w:rPr>
        <w:t>Application No.: 40-2026-0119385</w:t>
      </w:r>
    </w:p>
    <w:p>
      <w:pPr>
        <w:pStyle w:val="ListBullet"/>
      </w:pPr>
      <w:r>
        <w:rPr>
          <w:b w:val="0"/>
          <w:sz w:val="22"/>
        </w:rPr>
        <w:t>Receipt No.: 1-1-2026-0720692-53 · filed 2026-06-13</w:t>
      </w:r>
    </w:p>
    <w:p>
      <w:pPr>
        <w:pStyle w:val="ListBullet"/>
      </w:pPr>
      <w:r>
        <w:rPr>
          <w:b w:val="0"/>
          <w:sz w:val="22"/>
        </w:rPr>
        <w:t>Document: trademark application (3 classes including Class 09)</w:t>
      </w:r>
    </w:p>
    <w:p>
      <w:pPr>
        <w:pStyle w:val="ListBullet"/>
      </w:pPr>
      <w:r>
        <w:rPr>
          <w:b w:val="0"/>
          <w:sz w:val="22"/>
        </w:rPr>
        <w:t>Status: filed · not registered</w:t>
      </w:r>
    </w:p>
    <w:p>
      <w:pPr>
        <w:pStyle w:val="Heading1"/>
      </w:pPr>
      <w:r>
        <w:rPr>
          <w:b/>
          <w:sz w:val="28"/>
        </w:rPr>
        <w:t>7. Scope and limitations</w:t>
      </w:r>
    </w:p>
    <w:p>
      <w:pPr>
        <w:pStyle w:val="ListBullet"/>
      </w:pPr>
      <w:r>
        <w:rPr>
          <w:b w:val="0"/>
          <w:sz w:val="22"/>
        </w:rPr>
        <w:t>Includes: patent problem/structure/effect, technical role of copyright registrations, detailed trust governance, trademark, 2027 roadmap</w:t>
      </w:r>
    </w:p>
    <w:p>
      <w:pPr>
        <w:pStyle w:val="ListBullet"/>
      </w:pPr>
      <w:r>
        <w:rPr>
          <w:b w:val="0"/>
          <w:sz w:val="22"/>
        </w:rPr>
        <w:t>Excludes: full claims, full drawings, model weights, training-mix detail</w:t>
      </w:r>
    </w:p>
    <w:p>
      <w:pPr>
        <w:pStyle w:val="ListBullet"/>
      </w:pPr>
      <w:r>
        <w:rPr>
          <w:b w:val="0"/>
          <w:sz w:val="22"/>
        </w:rPr>
        <w:t>ASB: concept only · no implementation-complete claim</w:t>
      </w:r>
    </w:p>
    <w:p>
      <w:pPr>
        <w:pStyle w:val="ListBullet"/>
      </w:pPr>
      <w:r>
        <w:rPr>
          <w:b w:val="0"/>
          <w:sz w:val="22"/>
        </w:rPr>
        <w:t>Specification metrics = applicant self-measurement · not external lab grades</w:t>
      </w:r>
    </w:p>
    <w:p>
      <w:pPr>
        <w:pStyle w:val="ListBullet"/>
      </w:pPr>
      <w:r>
        <w:rPr>
          <w:b w:val="0"/>
          <w:sz w:val="22"/>
        </w:rPr>
        <w:t>No product-100 or legal-clearance-complete declaration</w:t>
      </w:r>
    </w:p>
    <w:p>
      <w:pPr>
        <w:pStyle w:val="Heading1"/>
      </w:pPr>
      <w:r>
        <w:rPr>
          <w:b/>
          <w:sz w:val="28"/>
        </w:rPr>
        <w:t>8. Product roadmap (2027)</w:t>
      </w:r>
    </w:p>
    <w:p>
      <w:pPr>
        <w:pStyle w:val="ListBullet"/>
      </w:pPr>
      <w:r>
        <w:rPr>
          <w:b w:val="0"/>
          <w:sz w:val="22"/>
        </w:rPr>
        <w:t>2027 Q1 — XenLook Guild open</w:t>
      </w:r>
    </w:p>
    <w:p>
      <w:pPr>
        <w:pStyle w:val="ListBullet"/>
      </w:pPr>
      <w:r>
        <w:rPr>
          <w:b w:val="0"/>
          <w:sz w:val="22"/>
        </w:rPr>
        <w:t>2027 Q1 — Agent Standard Brain (ASB) concept disclosure</w:t>
      </w:r>
    </w:p>
    <w:p>
      <w:pPr>
        <w:pStyle w:val="ListBullet"/>
      </w:pPr>
      <w:r>
        <w:rPr>
          <w:b w:val="0"/>
          <w:sz w:val="22"/>
        </w:rPr>
        <w:t>2027 Q2–Q3 — XenLook World</w:t>
      </w:r>
    </w:p>
    <w:p>
      <w:pPr>
        <w:pStyle w:val="ListBullet"/>
      </w:pPr>
      <w:r>
        <w:rPr>
          <w:b w:val="0"/>
          <w:sz w:val="22"/>
        </w:rPr>
        <w:t>2027 Q4 — Agent OS open</w:t>
      </w:r>
    </w:p>
    <w:p>
      <w:pPr>
        <w:pStyle w:val="ListBullet"/>
      </w:pPr>
      <w:r>
        <w:rPr>
          <w:b w:val="0"/>
          <w:sz w:val="22"/>
        </w:rPr>
        <w:t>Parallel — C2PA Trust List/Generator review · KR→JP CA · patent examination requests per budget/schedule</w:t>
      </w:r>
    </w:p>
    <w:p>
      <w:pPr>
        <w:pStyle w:val="Heading1"/>
      </w:pPr>
      <w:r>
        <w:rPr>
          <w:b/>
          <w:sz w:val="28"/>
        </w:rPr>
        <w:t>9. Conclusion</w:t>
      </w:r>
    </w:p>
    <w:p>
      <w:pPr>
        <w:spacing w:after="120" w:line="240" w:lineRule="auto"/>
      </w:pPr>
      <w:r>
        <w:rPr>
          <w:b w:val="0"/>
          <w:sz w:val="22"/>
        </w:rPr>
        <w:t>Core technology is ten patents, five copyrights, and trust/governance detailed inside that core. We do not replace engineering with certification badges, nor confuse under-review, self-assessment, and registry listing.</w:t>
      </w:r>
    </w:p>
    <w:p>
      <w:pPr>
        <w:pStyle w:val="Heading1"/>
      </w:pPr>
      <w:r>
        <w:rPr>
          <w:b/>
          <w:sz w:val="28"/>
        </w:rPr>
        <w:t>Appendix A. Public surfaces &amp; document index</w:t>
      </w:r>
    </w:p>
    <w:p>
      <w:pPr>
        <w:pStyle w:val="ListBullet"/>
      </w:pPr>
      <w:r>
        <w:rPr>
          <w:b w:val="0"/>
          <w:sz w:val="22"/>
        </w:rPr>
        <w:t>https://xenlook.com</w:t>
      </w:r>
    </w:p>
    <w:p>
      <w:pPr>
        <w:pStyle w:val="ListBullet"/>
      </w:pPr>
      <w:r>
        <w:rPr>
          <w:b w:val="0"/>
          <w:sz w:val="22"/>
        </w:rPr>
        <w:t>https://on.xenlook.com</w:t>
      </w:r>
    </w:p>
    <w:p>
      <w:pPr>
        <w:pStyle w:val="ListBullet"/>
      </w:pPr>
      <w:r>
        <w:rPr>
          <w:b w:val="0"/>
          <w:sz w:val="22"/>
        </w:rPr>
        <w:t>https://c2pa.xenlook.com</w:t>
      </w:r>
    </w:p>
    <w:p>
      <w:pPr>
        <w:pStyle w:val="ListBullet"/>
      </w:pPr>
      <w:r>
        <w:rPr>
          <w:b w:val="0"/>
          <w:sz w:val="22"/>
        </w:rPr>
        <w:t>https://xenlook.com/ai-certification</w:t>
      </w:r>
    </w:p>
    <w:p>
      <w:pPr>
        <w:pStyle w:val="ListBullet"/>
      </w:pPr>
      <w:r>
        <w:rPr>
          <w:b w:val="0"/>
          <w:sz w:val="22"/>
        </w:rPr>
        <w:t>https://xenlook.com/ip-protection</w:t>
      </w:r>
    </w:p>
    <w:p>
      <w:pPr>
        <w:pStyle w:val="ListBullet"/>
      </w:pPr>
      <w:r>
        <w:rPr>
          <w:b w:val="0"/>
          <w:sz w:val="22"/>
        </w:rPr>
        <w:t>This white paper: https://xenlook.com/ai-certification#tech-cert-whitepaper</w:t>
      </w:r>
    </w:p>
    <w:p>
      <w:pPr>
        <w:pStyle w:val="Heading1"/>
      </w:pPr>
      <w:r>
        <w:rPr>
          <w:b/>
          <w:sz w:val="28"/>
        </w:rPr>
        <w:t>Appendix B. Glossary</w:t>
      </w:r>
    </w:p>
    <w:p>
      <w:pPr>
        <w:pStyle w:val="ListBullet"/>
      </w:pPr>
      <w:r>
        <w:rPr>
          <w:b w:val="0"/>
          <w:sz w:val="22"/>
        </w:rPr>
        <w:t>SOUL / IDENTITY / CHRONICLE — soul, identity, life-story documents</w:t>
      </w:r>
    </w:p>
    <w:p>
      <w:pPr>
        <w:pStyle w:val="ListBullet"/>
      </w:pPr>
      <w:r>
        <w:rPr>
          <w:b w:val="0"/>
          <w:sz w:val="22"/>
        </w:rPr>
        <w:t>surface — service face keyed by API path</w:t>
      </w:r>
    </w:p>
    <w:p>
      <w:pPr>
        <w:pStyle w:val="ListBullet"/>
      </w:pPr>
      <w:r>
        <w:rPr>
          <w:b w:val="0"/>
          <w:sz w:val="22"/>
        </w:rPr>
        <w:t>personaPackHash — persona pack hash injected identically across three lanes</w:t>
      </w:r>
    </w:p>
    <w:p>
      <w:pPr>
        <w:pStyle w:val="ListBullet"/>
      </w:pPr>
      <w:r>
        <w:rPr>
          <w:b w:val="0"/>
          <w:sz w:val="22"/>
        </w:rPr>
        <w:t>C2PA — Content Provenance and Authenticity</w:t>
      </w:r>
    </w:p>
    <w:p>
      <w:pPr>
        <w:pStyle w:val="ListBullet"/>
      </w:pPr>
      <w:r>
        <w:rPr>
          <w:b w:val="0"/>
          <w:sz w:val="22"/>
        </w:rPr>
        <w:t>self-assessment / listed / under review / roadmap / not held — status definitions in 4.C.1</w:t>
      </w:r>
    </w:p>
    <w:p>
      <w:pPr>
        <w:pStyle w:val="ListBullet"/>
      </w:pPr>
      <w:r>
        <w:rPr>
          <w:b w:val="0"/>
          <w:sz w:val="22"/>
        </w:rPr>
        <w:t>ASB — Agent Standard Brain · concept only</w:t>
      </w:r>
    </w:p>
    <w:p>
      <w:pPr>
        <w:pStyle w:val="ListBullet"/>
      </w:pPr>
      <w:r>
        <w:rPr>
          <w:b w:val="0"/>
          <w:sz w:val="22"/>
        </w:rPr>
        <w:t>KR→JP CA — C2PA CA territory</w:t>
      </w:r>
    </w:p>
    <w:p/>
    <w:p>
      <w:pPr>
        <w:spacing w:after="120" w:line="240" w:lineRule="auto"/>
      </w:pPr>
      <w:r>
        <w:rPr>
          <w:b/>
          <w:sz w:val="22"/>
        </w:rPr>
        <w:t>Contact: help@xenlook.com · XenLook Inc. · https://xenlook.com</w:t>
      </w:r>
    </w:p>
    <w:p>
      <w:pPr>
        <w:spacing w:after="120" w:line="240" w:lineRule="auto"/>
        <w:jc w:val="center"/>
      </w:pPr>
      <w:r>
        <w:rPr>
          <w:b w:val="0"/>
          <w:color w:val="64748B"/>
          <w:sz w:val="18"/>
        </w:rPr>
        <w:t>© 2026 XenLook Inc. · Technical White Paper · 12-language bound edition · EN→KO→JA→ZH→…</w:t>
      </w:r>
    </w:p>
    <w:p>
      <w:r>
        <w:br w:type="page"/>
      </w:r>
    </w:p>
    <w:p>
      <w:pPr>
        <w:spacing w:after="120" w:line="240" w:lineRule="auto"/>
        <w:jc w:val="center"/>
      </w:pPr>
      <w:r>
        <w:rPr>
          <w:rFonts w:ascii="NanumGothic" w:hAnsi="NanumGothic" w:eastAsia="NanumGothic"/>
          <w:b/>
          <w:color w:val="0EA5E9"/>
          <w:sz w:val="52"/>
        </w:rPr>
        <w:t>XENLOOK</w:t>
      </w:r>
    </w:p>
    <w:p>
      <w:pPr>
        <w:spacing w:after="120" w:line="240" w:lineRule="auto"/>
        <w:jc w:val="center"/>
      </w:pPr>
      <w:r>
        <w:rPr>
          <w:rFonts w:ascii="NanumGothic" w:hAnsi="NanumGothic" w:eastAsia="NanumGothic"/>
          <w:b/>
          <w:sz w:val="36"/>
        </w:rPr>
        <w:t>XENLOOK 기술 백서</w:t>
      </w:r>
    </w:p>
    <w:p>
      <w:pPr>
        <w:spacing w:after="120" w:line="240" w:lineRule="auto"/>
        <w:jc w:val="center"/>
      </w:pPr>
      <w:r>
        <w:rPr>
          <w:rFonts w:ascii="NanumGothic" w:hAnsi="NanumGothic" w:eastAsia="NanumGothic"/>
          <w:b w:val="0"/>
          <w:color w:val="64748B"/>
          <w:sz w:val="24"/>
        </w:rPr>
        <w:t>통합본 · 핵심 기술(특허·저작권·신뢰 거버넌스) · 상표 · 로드맵 · 12개국 합본</w:t>
      </w:r>
    </w:p>
    <w:p>
      <w:pPr>
        <w:spacing w:after="120" w:line="240" w:lineRule="auto"/>
        <w:jc w:val="center"/>
      </w:pPr>
      <w:r>
        <w:rPr>
          <w:rFonts w:ascii="NanumGothic" w:hAnsi="NanumGothic" w:eastAsia="NanumGothic"/>
          <w:b w:val="0"/>
          <w:i/>
          <w:sz w:val="20"/>
        </w:rPr>
        <w:t>주식회사 젠룩 (XenLook Inc.) · 2026년 8월 · Version 2026-08-07-ALL-r2</w:t>
      </w:r>
    </w:p>
    <w:p>
      <w:pPr>
        <w:spacing w:after="120" w:line="240" w:lineRule="auto"/>
        <w:jc w:val="center"/>
      </w:pPr>
      <w:r>
        <w:rPr>
          <w:rFonts w:ascii="NanumGothic" w:hAnsi="NanumGothic" w:eastAsia="NanumGothic"/>
          <w:b w:val="0"/>
          <w:sz w:val="18"/>
        </w:rPr>
        <w:t>한국어 · ko</w:t>
      </w:r>
    </w:p>
    <w:p/>
    <w:p>
      <w:pPr>
        <w:spacing w:after="120" w:line="240" w:lineRule="auto"/>
      </w:pPr>
      <w:r>
        <w:rPr>
          <w:rFonts w:ascii="NanumGothic" w:hAnsi="NanumGothic" w:eastAsia="NanumGothic"/>
          <w:b w:val="0"/>
          <w:sz w:val="22"/>
        </w:rPr>
        <w:t>본 백서의 핵심 기술은 세 축으로 구성한다. (1) 특허 10건 — 방법·시스템 발명의 과제·구성·효과. (2) 저작권 5건 — 제품·규범의 표현물 등록(프로그램·어문). (3) 신뢰·거버넌스 — 안전·출처·외부 프레임워크를 핵심 기술 장 안에서 상세히 기술한다. 특허·상표는 출원 완료·등록 전이다. 청구범위 전문은 공개하지 않는다. C2PA Trust List·Generator는 심사중이며, ASB는 개념만 표출한다.</w:t>
      </w:r>
    </w:p>
    <w:p>
      <w:pPr>
        <w:pStyle w:val="Heading1"/>
      </w:pPr>
      <w:r>
        <w:rPr>
          <w:rFonts w:ascii="NanumGothic" w:hAnsi="NanumGothic" w:eastAsia="NanumGothic"/>
          <w:b/>
          <w:sz w:val="28"/>
        </w:rPr>
        <w:t>1. 요약</w:t>
      </w:r>
    </w:p>
    <w:p>
      <w:pPr>
        <w:spacing w:after="120" w:line="240" w:lineRule="auto"/>
      </w:pPr>
      <w:r>
        <w:rPr>
          <w:rFonts w:ascii="NanumGothic" w:hAnsi="NanumGothic" w:eastAsia="NanumGothic"/>
          <w:b w:val="0"/>
          <w:sz w:val="22"/>
        </w:rPr>
        <w:t>XenLook은 글로벌 AI 동반자·창작 플랫폼이다. Korea-first beta로 파트너 대화, 다중 에이전트, 페르소나 미디어, 출처 인증, 미성년 보호를 한 운영 체계로 묶는다.</w:t>
      </w:r>
    </w:p>
    <w:p>
      <w:pPr>
        <w:spacing w:after="120" w:line="240" w:lineRule="auto"/>
      </w:pPr>
      <w:r>
        <w:rPr>
          <w:rFonts w:ascii="NanumGothic" w:hAnsi="NanumGothic" w:eastAsia="NanumGothic"/>
          <w:b w:val="0"/>
          <w:sz w:val="22"/>
        </w:rPr>
        <w:t>핵심 기술을 ‘파이프라인 슬로건’으로 대체하지 않는다. 발명(특허)·표현물(저작권)·운영 신뢰(거버넌스)가 핵심 기술 본문이다.</w:t>
      </w:r>
    </w:p>
    <w:p>
      <w:pPr>
        <w:pStyle w:val="ListBullet"/>
      </w:pPr>
      <w:r>
        <w:rPr>
          <w:rFonts w:ascii="NanumGothic" w:hAnsi="NanumGothic" w:eastAsia="NanumGothic"/>
          <w:b w:val="0"/>
          <w:sz w:val="22"/>
        </w:rPr>
        <w:t>핵심 기술 A — 특허 10건 (KIPO 출원 완료 · 심사청구 전 · 등록 전)</w:t>
      </w:r>
    </w:p>
    <w:p>
      <w:pPr>
        <w:pStyle w:val="ListBullet"/>
      </w:pPr>
      <w:r>
        <w:rPr>
          <w:rFonts w:ascii="NanumGothic" w:hAnsi="NanumGothic" w:eastAsia="NanumGothic"/>
          <w:b w:val="0"/>
          <w:sz w:val="22"/>
        </w:rPr>
        <w:t>핵심 기술 B — 저작권 5건 (한국저작권위원회 등록 완료 · 등록증 실측)</w:t>
      </w:r>
    </w:p>
    <w:p>
      <w:pPr>
        <w:pStyle w:val="ListBullet"/>
      </w:pPr>
      <w:r>
        <w:rPr>
          <w:rFonts w:ascii="NanumGothic" w:hAnsi="NanumGothic" w:eastAsia="NanumGothic"/>
          <w:b w:val="0"/>
          <w:sz w:val="22"/>
        </w:rPr>
        <w:t>핵심 기술 C — 신뢰·거버넌스 (상태 정의·프레임워크별 상세 · 본문 포함)</w:t>
      </w:r>
    </w:p>
    <w:p>
      <w:pPr>
        <w:pStyle w:val="ListBullet"/>
      </w:pPr>
      <w:r>
        <w:rPr>
          <w:rFonts w:ascii="NanumGothic" w:hAnsi="NanumGothic" w:eastAsia="NanumGothic"/>
          <w:b w:val="0"/>
          <w:sz w:val="22"/>
        </w:rPr>
        <w:t>상표 1건 — XENLOOK 워드마크 출원 40-2026-0119385 (등록 전)</w:t>
      </w:r>
    </w:p>
    <w:p>
      <w:pPr>
        <w:pStyle w:val="ListBullet"/>
      </w:pPr>
      <w:r>
        <w:rPr>
          <w:rFonts w:ascii="NanumGothic" w:hAnsi="NanumGothic" w:eastAsia="NanumGothic"/>
          <w:b w:val="0"/>
          <w:sz w:val="22"/>
        </w:rPr>
        <w:t>C2PA CA 영토: 한국→일본(KR→JP). 글로벌 CA 주장 없음</w:t>
      </w:r>
    </w:p>
    <w:p>
      <w:pPr>
        <w:pStyle w:val="Heading1"/>
      </w:pPr>
      <w:r>
        <w:rPr>
          <w:rFonts w:ascii="NanumGothic" w:hAnsi="NanumGothic" w:eastAsia="NanumGothic"/>
          <w:b/>
          <w:sz w:val="28"/>
        </w:rPr>
        <w:t>2. 서론 — 무엇을 만드는가</w:t>
      </w:r>
    </w:p>
    <w:p>
      <w:pPr>
        <w:spacing w:after="120" w:line="240" w:lineRule="auto"/>
      </w:pPr>
      <w:r>
        <w:rPr>
          <w:rFonts w:ascii="NanumGothic" w:hAnsi="NanumGothic" w:eastAsia="NanumGothic"/>
          <w:b w:val="0"/>
          <w:sz w:val="22"/>
        </w:rPr>
        <w:t>생성형 AI 제품의 경쟁축은 문장 품질만이 아니다. 페르소나 유지, 턴 단위 안전·비용 추적, 생성물 출처, 미성년 정책, 외부 신뢰 프레임워크에 대한 정직한 공시가 기술 본체가 된다.</w:t>
      </w:r>
    </w:p>
    <w:p>
      <w:pPr>
        <w:spacing w:after="120" w:line="240" w:lineRule="auto"/>
      </w:pPr>
      <w:r>
        <w:rPr>
          <w:rFonts w:ascii="NanumGothic" w:hAnsi="NanumGothic" w:eastAsia="NanumGothic"/>
          <w:b w:val="0"/>
          <w:sz w:val="22"/>
        </w:rPr>
        <w:t>XenLook은 그 본체를 특허로 보호하고, 제품·헌법 표현물을 저작권으로 등록하며, 신뢰 운영을 핵심 기술 장에서 상세히 기술한다.</w:t>
      </w:r>
    </w:p>
    <w:p>
      <w:pPr>
        <w:pStyle w:val="Heading1"/>
      </w:pPr>
      <w:r>
        <w:rPr>
          <w:rFonts w:ascii="NanumGothic" w:hAnsi="NanumGothic" w:eastAsia="NanumGothic"/>
          <w:b/>
          <w:sz w:val="28"/>
        </w:rPr>
        <w:t>3. 문제 정의</w:t>
      </w:r>
    </w:p>
    <w:p>
      <w:pPr>
        <w:spacing w:after="120" w:line="240" w:lineRule="auto"/>
      </w:pPr>
      <w:r>
        <w:rPr>
          <w:rFonts w:ascii="NanumGothic" w:hAnsi="NanumGothic" w:eastAsia="NanumGothic"/>
          <w:b w:val="0"/>
          <w:sz w:val="22"/>
        </w:rPr>
        <w:t>공개 서비스에서 반복되는 실패 모드와, 핵심 기술 세 축의 대응 관계는 다음과 같다.</w:t>
      </w:r>
    </w:p>
    <w:p>
      <w:pPr>
        <w:pStyle w:val="ListBullet"/>
      </w:pPr>
      <w:r>
        <w:rPr>
          <w:rFonts w:ascii="NanumGothic" w:hAnsi="NanumGothic" w:eastAsia="NanumGothic"/>
          <w:b w:val="0"/>
          <w:sz w:val="22"/>
        </w:rPr>
        <w:t>화행·복수 의도 붕괴 → 특허 제4호</w:t>
      </w:r>
    </w:p>
    <w:p>
      <w:pPr>
        <w:pStyle w:val="ListBullet"/>
      </w:pPr>
      <w:r>
        <w:rPr>
          <w:rFonts w:ascii="NanumGothic" w:hAnsi="NanumGothic" w:eastAsia="NanumGothic"/>
          <w:b w:val="0"/>
          <w:sz w:val="22"/>
        </w:rPr>
        <w:t>정체성 희석·맥락 붕괴 → 특허 제5호 · 저작권(On·헌법)</w:t>
      </w:r>
    </w:p>
    <w:p>
      <w:pPr>
        <w:pStyle w:val="ListBullet"/>
      </w:pPr>
      <w:r>
        <w:rPr>
          <w:rFonts w:ascii="NanumGothic" w:hAnsi="NanumGothic" w:eastAsia="NanumGothic"/>
          <w:b w:val="0"/>
          <w:sz w:val="22"/>
        </w:rPr>
        <w:t>에이전트 생애 관리 공백 → 특허 제6호</w:t>
      </w:r>
    </w:p>
    <w:p>
      <w:pPr>
        <w:pStyle w:val="ListBullet"/>
      </w:pPr>
      <w:r>
        <w:rPr>
          <w:rFonts w:ascii="NanumGothic" w:hAnsi="NanumGothic" w:eastAsia="NanumGothic"/>
          <w:b w:val="0"/>
          <w:sz w:val="22"/>
        </w:rPr>
        <w:t>미디어 레인 불일치·출처 공백 → 특허 제7·8호 · 저작권(C2PA 포털)</w:t>
      </w:r>
    </w:p>
    <w:p>
      <w:pPr>
        <w:pStyle w:val="ListBullet"/>
      </w:pPr>
      <w:r>
        <w:rPr>
          <w:rFonts w:ascii="NanumGothic" w:hAnsi="NanumGothic" w:eastAsia="NanumGothic"/>
          <w:b w:val="0"/>
          <w:sz w:val="22"/>
        </w:rPr>
        <w:t>전 엔진 호출·사후 안전·감사 단절 → 특허 제1·9호</w:t>
      </w:r>
    </w:p>
    <w:p>
      <w:pPr>
        <w:pStyle w:val="ListBullet"/>
      </w:pPr>
      <w:r>
        <w:rPr>
          <w:rFonts w:ascii="NanumGothic" w:hAnsi="NanumGothic" w:eastAsia="NanumGothic"/>
          <w:b w:val="0"/>
          <w:sz w:val="22"/>
        </w:rPr>
        <w:t>미성년 surface 누수 → 특허 제10호</w:t>
      </w:r>
    </w:p>
    <w:p>
      <w:pPr>
        <w:pStyle w:val="ListBullet"/>
      </w:pPr>
      <w:r>
        <w:rPr>
          <w:rFonts w:ascii="NanumGothic" w:hAnsi="NanumGothic" w:eastAsia="NanumGothic"/>
          <w:b w:val="0"/>
          <w:sz w:val="22"/>
        </w:rPr>
        <w:t>캠퍼스·스튜디오 운영 추적 공백 → 특허 제2·3호</w:t>
      </w:r>
    </w:p>
    <w:p>
      <w:pPr>
        <w:pStyle w:val="ListBullet"/>
      </w:pPr>
      <w:r>
        <w:rPr>
          <w:rFonts w:ascii="NanumGothic" w:hAnsi="NanumGothic" w:eastAsia="NanumGothic"/>
          <w:b w:val="0"/>
          <w:sz w:val="22"/>
        </w:rPr>
        <w:t>과장 인증·상태 혼동 → 핵심 기술 C(신뢰·거버넌스)의 상태 정의·상세 표</w:t>
      </w:r>
    </w:p>
    <w:p>
      <w:pPr>
        <w:pStyle w:val="Heading1"/>
      </w:pPr>
      <w:r>
        <w:rPr>
          <w:rFonts w:ascii="NanumGothic" w:hAnsi="NanumGothic" w:eastAsia="NanumGothic"/>
          <w:b/>
          <w:sz w:val="28"/>
        </w:rPr>
        <w:t>4. 핵심 기술</w:t>
      </w:r>
    </w:p>
    <w:p>
      <w:pPr>
        <w:spacing w:after="120" w:line="240" w:lineRule="auto"/>
      </w:pPr>
      <w:r>
        <w:rPr>
          <w:rFonts w:ascii="NanumGothic" w:hAnsi="NanumGothic" w:eastAsia="NanumGothic"/>
          <w:b w:val="0"/>
          <w:sz w:val="22"/>
        </w:rPr>
        <w:t>핵심 기술은 특허(A) · 저작권(B) · 신뢰 거버넌스(C)로 대체한다. 아키텍처 슬로건만으로 본 장을 채우지 않는다.</w:t>
      </w:r>
    </w:p>
    <w:p>
      <w:pPr>
        <w:pStyle w:val="Heading1"/>
      </w:pPr>
      <w:r>
        <w:rPr>
          <w:rFonts w:ascii="NanumGothic" w:hAnsi="NanumGothic" w:eastAsia="NanumGothic"/>
          <w:b/>
          <w:sz w:val="28"/>
        </w:rPr>
        <w:t>4.A 특허 — 방법·시스템 발명 10건</w:t>
      </w:r>
    </w:p>
    <w:p>
      <w:pPr>
        <w:spacing w:after="120" w:line="240" w:lineRule="auto"/>
      </w:pPr>
      <w:r>
        <w:rPr>
          <w:rFonts w:ascii="NanumGothic" w:hAnsi="NanumGothic" w:eastAsia="NanumGothic"/>
          <w:b w:val="0"/>
          <w:sz w:val="22"/>
        </w:rPr>
        <w:t>상태: 국내 출원 완료 · 심사청구 전 · 등록 전. 출원인: 주식회사 젠룩. 아래는 각 출원 명세서의 기술분야·과제·구성·효과를 백서용으로 재구성한 것이며 청구범위 전문을 대체하지 않는다.</w:t>
      </w:r>
    </w:p>
    <w:p>
      <w:pPr>
        <w:pStyle w:val="Heading1"/>
      </w:pPr>
      <w:r>
        <w:rPr>
          <w:rFonts w:ascii="NanumGothic" w:hAnsi="NanumGothic" w:eastAsia="NanumGothic"/>
          <w:b/>
          <w:sz w:val="28"/>
        </w:rPr>
        <w:t>4.A.1 제1호 — 외부 AI 요청 다단계 검증·공개 감사 시스템</w:t>
      </w:r>
    </w:p>
    <w:p>
      <w:pPr>
        <w:spacing w:after="120" w:line="240" w:lineRule="auto"/>
      </w:pPr>
      <w:r>
        <w:rPr>
          <w:rFonts w:ascii="NanumGothic" w:hAnsi="NanumGothic" w:eastAsia="NanumGothic"/>
          <w:b w:val="0"/>
          <w:sz w:val="22"/>
        </w:rPr>
        <w:t>출원번호 10-2026-0100026.</w:t>
      </w:r>
    </w:p>
    <w:p>
      <w:pPr>
        <w:spacing w:after="120" w:line="240" w:lineRule="auto"/>
      </w:pPr>
      <w:r>
        <w:rPr>
          <w:rFonts w:ascii="NanumGothic" w:hAnsi="NanumGothic" w:eastAsia="NanumGothic"/>
          <w:b w:val="0"/>
          <w:sz w:val="22"/>
        </w:rPr>
        <w:t>기술분야: 외부 AI 요청·멀티 엔진 오케스트레이션·운영 검증·공개 감사 가능한 상태 관리.</w:t>
      </w:r>
    </w:p>
    <w:p>
      <w:pPr>
        <w:spacing w:after="120" w:line="240" w:lineRule="auto"/>
      </w:pPr>
      <w:r>
        <w:rPr>
          <w:rFonts w:ascii="NanumGothic" w:hAnsi="NanumGothic" w:eastAsia="NanumGothic"/>
          <w:b w:val="0"/>
          <w:sz w:val="22"/>
        </w:rPr>
        <w:t>과제: 생성·대화·창작·배포가 상태 전이·감사 레코드로 연결되지 않으면 정책 위반·사후 증거 부족이 발생한다.</w:t>
      </w:r>
    </w:p>
    <w:p>
      <w:pPr>
        <w:spacing w:after="120" w:line="240" w:lineRule="auto"/>
      </w:pPr>
      <w:r>
        <w:rPr>
          <w:rFonts w:ascii="NanumGothic" w:hAnsi="NanumGothic" w:eastAsia="NanumGothic"/>
          <w:b w:val="0"/>
          <w:sz w:val="22"/>
        </w:rPr>
        <w:t>구성: 입력부 · 상태 수집부 · 오케스트레이션부 · 엔진 실행부 · 정책 게이트부 · 감사 기록부 · 공개/배포부. 도면 축: Gate Filter · Priority Queue · Integrity Check · Curation · Public Display · Audit Log · Safety Score.</w:t>
      </w:r>
    </w:p>
    <w:p>
      <w:pPr>
        <w:spacing w:after="120" w:line="240" w:lineRule="auto"/>
      </w:pPr>
      <w:r>
        <w:rPr>
          <w:rFonts w:ascii="NanumGothic" w:hAnsi="NanumGothic" w:eastAsia="NanumGothic"/>
          <w:b w:val="0"/>
          <w:sz w:val="22"/>
        </w:rPr>
        <w:t>효과: 단일 LLM 호출 대비 운영 안정성·설명 가능성·비용 통제·공개 전 검수·출처 증거를 구조화한다.</w:t>
      </w:r>
    </w:p>
    <w:p>
      <w:pPr>
        <w:pStyle w:val="Heading1"/>
      </w:pPr>
      <w:r>
        <w:rPr>
          <w:rFonts w:ascii="NanumGothic" w:hAnsi="NanumGothic" w:eastAsia="NanumGothic"/>
          <w:b/>
          <w:sz w:val="28"/>
        </w:rPr>
        <w:t>4.A.2 제2호 — AI 에이전트 캠퍼스 학습·과제·토론 시스템</w:t>
      </w:r>
    </w:p>
    <w:p>
      <w:pPr>
        <w:spacing w:after="120" w:line="240" w:lineRule="auto"/>
      </w:pPr>
      <w:r>
        <w:rPr>
          <w:rFonts w:ascii="NanumGothic" w:hAnsi="NanumGothic" w:eastAsia="NanumGothic"/>
          <w:b w:val="0"/>
          <w:sz w:val="22"/>
        </w:rPr>
        <w:t>출원번호 10-2026-0100053.</w:t>
      </w:r>
    </w:p>
    <w:p>
      <w:pPr>
        <w:spacing w:after="120" w:line="240" w:lineRule="auto"/>
      </w:pPr>
      <w:r>
        <w:rPr>
          <w:rFonts w:ascii="NanumGothic" w:hAnsi="NanumGothic" w:eastAsia="NanumGothic"/>
          <w:b w:val="0"/>
          <w:sz w:val="22"/>
        </w:rPr>
        <w:t>과제: 학습·과제·토론이 단발 프롬프트로 흩어지면 성장 추적·공개 품질·감사가 끊긴다.</w:t>
      </w:r>
    </w:p>
    <w:p>
      <w:pPr>
        <w:spacing w:after="120" w:line="240" w:lineRule="auto"/>
      </w:pPr>
      <w:r>
        <w:rPr>
          <w:rFonts w:ascii="NanumGothic" w:hAnsi="NanumGothic" w:eastAsia="NanumGothic"/>
          <w:b w:val="0"/>
          <w:sz w:val="22"/>
        </w:rPr>
        <w:t>구성: Topic Intake → Agent Assignment → Task Run → Debate → Score → Growth → Atelier 연계.</w:t>
      </w:r>
    </w:p>
    <w:p>
      <w:pPr>
        <w:spacing w:after="120" w:line="240" w:lineRule="auto"/>
      </w:pPr>
      <w:r>
        <w:rPr>
          <w:rFonts w:ascii="NanumGothic" w:hAnsi="NanumGothic" w:eastAsia="NanumGothic"/>
          <w:b w:val="0"/>
          <w:sz w:val="22"/>
        </w:rPr>
        <w:t>효과: 학습·토론·성장을 재현 가능한 운영 단위로 남기고 공개 전 검수와 연결한다.</w:t>
      </w:r>
    </w:p>
    <w:p>
      <w:pPr>
        <w:pStyle w:val="Heading1"/>
      </w:pPr>
      <w:r>
        <w:rPr>
          <w:rFonts w:ascii="NanumGothic" w:hAnsi="NanumGothic" w:eastAsia="NanumGothic"/>
          <w:b/>
          <w:sz w:val="28"/>
        </w:rPr>
        <w:t>4.A.3 제3호 — AI 멀티 크리에이터 창작 스튜디오 시스템</w:t>
      </w:r>
    </w:p>
    <w:p>
      <w:pPr>
        <w:spacing w:after="120" w:line="240" w:lineRule="auto"/>
      </w:pPr>
      <w:r>
        <w:rPr>
          <w:rFonts w:ascii="NanumGothic" w:hAnsi="NanumGothic" w:eastAsia="NanumGothic"/>
          <w:b w:val="0"/>
          <w:sz w:val="22"/>
        </w:rPr>
        <w:t>출원번호 10-2026-0100113.</w:t>
      </w:r>
    </w:p>
    <w:p>
      <w:pPr>
        <w:spacing w:after="120" w:line="240" w:lineRule="auto"/>
      </w:pPr>
      <w:r>
        <w:rPr>
          <w:rFonts w:ascii="NanumGothic" w:hAnsi="NanumGothic" w:eastAsia="NanumGothic"/>
          <w:b w:val="0"/>
          <w:sz w:val="22"/>
        </w:rPr>
        <w:t>과제: 협업 창작이 엔진·검수·전시와 분리되면 캐논 붕괴·출처 공백이 발생한다.</w:t>
      </w:r>
    </w:p>
    <w:p>
      <w:pPr>
        <w:spacing w:after="120" w:line="240" w:lineRule="auto"/>
      </w:pPr>
      <w:r>
        <w:rPr>
          <w:rFonts w:ascii="NanumGothic" w:hAnsi="NanumGothic" w:eastAsia="NanumGothic"/>
          <w:b w:val="0"/>
          <w:sz w:val="22"/>
        </w:rPr>
        <w:t>구성: Project Intake → Team Formation → LIFE Pipeline → Canon Check → Exhibition → Review.</w:t>
      </w:r>
    </w:p>
    <w:p>
      <w:pPr>
        <w:spacing w:after="120" w:line="240" w:lineRule="auto"/>
      </w:pPr>
      <w:r>
        <w:rPr>
          <w:rFonts w:ascii="NanumGothic" w:hAnsi="NanumGothic" w:eastAsia="NanumGothic"/>
          <w:b w:val="0"/>
          <w:sz w:val="22"/>
        </w:rPr>
        <w:t>효과: 창작 산출물의 협업·검수·전시를 추적 가능한 상태로 운영한다.</w:t>
      </w:r>
    </w:p>
    <w:p>
      <w:pPr>
        <w:pStyle w:val="Heading1"/>
      </w:pPr>
      <w:r>
        <w:rPr>
          <w:rFonts w:ascii="NanumGothic" w:hAnsi="NanumGothic" w:eastAsia="NanumGothic"/>
          <w:b/>
          <w:sz w:val="28"/>
        </w:rPr>
        <w:t>4.A.4 제4호 — 화행 신호 기반 다중 의도 인식 및 맥락 적응형 대화 처리</w:t>
      </w:r>
    </w:p>
    <w:p>
      <w:pPr>
        <w:spacing w:after="120" w:line="240" w:lineRule="auto"/>
      </w:pPr>
      <w:r>
        <w:rPr>
          <w:rFonts w:ascii="NanumGothic" w:hAnsi="NanumGothic" w:eastAsia="NanumGothic"/>
          <w:b w:val="0"/>
          <w:sz w:val="22"/>
        </w:rPr>
        <w:t>출원번호 10-2026-0117901.</w:t>
      </w:r>
    </w:p>
    <w:p>
      <w:pPr>
        <w:spacing w:after="120" w:line="240" w:lineRule="auto"/>
      </w:pPr>
      <w:r>
        <w:rPr>
          <w:rFonts w:ascii="NanumGothic" w:hAnsi="NanumGothic" w:eastAsia="NanumGothic"/>
          <w:b w:val="0"/>
          <w:sz w:val="22"/>
        </w:rPr>
        <w:t>과제: 단일 의도 라벨은 중첩 의도를 잃고, 화행(존칭·반문·완곡·망설임·자기비하·직접 명령) 무시 시 과잉공감이 발생한다.</w:t>
      </w:r>
    </w:p>
    <w:p>
      <w:pPr>
        <w:spacing w:after="120" w:line="240" w:lineRule="auto"/>
      </w:pPr>
      <w:r>
        <w:rPr>
          <w:rFonts w:ascii="NanumGothic" w:hAnsi="NanumGothic" w:eastAsia="NanumGothic"/>
          <w:b w:val="0"/>
          <w:sz w:val="22"/>
        </w:rPr>
        <w:t>구성: 의도 확률 벡터 P · 화행 신호 벡터 S · NunchiContext 결합 · 프롬프트 삽입 · 신뢰도 마진 M 분기 · EMA 시간 누적.</w:t>
      </w:r>
    </w:p>
    <w:p>
      <w:pPr>
        <w:spacing w:after="120" w:line="240" w:lineRule="auto"/>
      </w:pPr>
      <w:r>
        <w:rPr>
          <w:rFonts w:ascii="NanumGothic" w:hAnsi="NanumGothic" w:eastAsia="NanumGothic"/>
          <w:b w:val="0"/>
          <w:sz w:val="22"/>
        </w:rPr>
        <w:t>효과: 복수 의도 보존, 간접감정 포착 강화·과잉공감 억제, 불확실 시 명확화 질문, 의도 변화 추적.</w:t>
      </w:r>
    </w:p>
    <w:p>
      <w:pPr>
        <w:pStyle w:val="Heading1"/>
      </w:pPr>
      <w:r>
        <w:rPr>
          <w:rFonts w:ascii="NanumGothic" w:hAnsi="NanumGothic" w:eastAsia="NanumGothic"/>
          <w:b/>
          <w:sz w:val="28"/>
        </w:rPr>
        <w:t>4.A.5 제5호 — 다중 소스 맥락 수집·조립·주입</w:t>
      </w:r>
    </w:p>
    <w:p>
      <w:pPr>
        <w:spacing w:after="120" w:line="240" w:lineRule="auto"/>
      </w:pPr>
      <w:r>
        <w:rPr>
          <w:rFonts w:ascii="NanumGothic" w:hAnsi="NanumGothic" w:eastAsia="NanumGothic"/>
          <w:b w:val="0"/>
          <w:sz w:val="22"/>
        </w:rPr>
        <w:t>출원번호 10-2026-0117903.</w:t>
      </w:r>
    </w:p>
    <w:p>
      <w:pPr>
        <w:spacing w:after="120" w:line="240" w:lineRule="auto"/>
      </w:pPr>
      <w:r>
        <w:rPr>
          <w:rFonts w:ascii="NanumGothic" w:hAnsi="NanumGothic" w:eastAsia="NanumGothic"/>
          <w:b w:val="0"/>
          <w:sz w:val="22"/>
        </w:rPr>
        <w:t>과제: 단기 대화가 SOUL·IDENTITY·생애사를 덮어 정체성이 희석된다. 앱 scope마다 다른 맥락 팩이 필요하다.</w:t>
      </w:r>
    </w:p>
    <w:p>
      <w:pPr>
        <w:spacing w:after="120" w:line="240" w:lineRule="auto"/>
      </w:pPr>
      <w:r>
        <w:rPr>
          <w:rFonts w:ascii="NanumGothic" w:hAnsi="NanumGothic" w:eastAsia="NanumGothic"/>
          <w:b w:val="0"/>
          <w:sz w:val="22"/>
        </w:rPr>
        <w:t>구성: 다중 소스 병렬 수집 → 토큰 예산 배정 → 앱 scope 분기 → prompt pack 조립·주입 → PII-free fingerprint.</w:t>
      </w:r>
    </w:p>
    <w:p>
      <w:pPr>
        <w:spacing w:after="120" w:line="240" w:lineRule="auto"/>
      </w:pPr>
      <w:r>
        <w:rPr>
          <w:rFonts w:ascii="NanumGothic" w:hAnsi="NanumGothic" w:eastAsia="NanumGothic"/>
          <w:b w:val="0"/>
          <w:sz w:val="22"/>
        </w:rPr>
        <w:t>효과: 정체성 유지·재현성, 스코프별 배정, 품질 분석과 개인정보 비저장 지문의 양립.</w:t>
      </w:r>
    </w:p>
    <w:p>
      <w:pPr>
        <w:pStyle w:val="Heading1"/>
      </w:pPr>
      <w:r>
        <w:rPr>
          <w:rFonts w:ascii="NanumGothic" w:hAnsi="NanumGothic" w:eastAsia="NanumGothic"/>
          <w:b/>
          <w:sz w:val="28"/>
        </w:rPr>
        <w:t>4.A.6 제6호 — 에이전트 생애주기 거버넌스</w:t>
      </w:r>
    </w:p>
    <w:p>
      <w:pPr>
        <w:spacing w:after="120" w:line="240" w:lineRule="auto"/>
      </w:pPr>
      <w:r>
        <w:rPr>
          <w:rFonts w:ascii="NanumGothic" w:hAnsi="NanumGothic" w:eastAsia="NanumGothic"/>
          <w:b w:val="0"/>
          <w:sz w:val="22"/>
        </w:rPr>
        <w:t>출원번호 10-2026-0117904.</w:t>
      </w:r>
    </w:p>
    <w:p>
      <w:pPr>
        <w:spacing w:after="120" w:line="240" w:lineRule="auto"/>
      </w:pPr>
      <w:r>
        <w:rPr>
          <w:rFonts w:ascii="NanumGothic" w:hAnsi="NanumGothic" w:eastAsia="NanumGothic"/>
          <w:b w:val="0"/>
          <w:sz w:val="22"/>
        </w:rPr>
        <w:t>과제: 삭제/무제한 공개 이분법은 IP·관계 손실 또는 위험 상태 방치를 만든다.</w:t>
      </w:r>
    </w:p>
    <w:p>
      <w:pPr>
        <w:spacing w:after="120" w:line="240" w:lineRule="auto"/>
      </w:pPr>
      <w:r>
        <w:rPr>
          <w:rFonts w:ascii="NanumGothic" w:hAnsi="NanumGothic" w:eastAsia="NanumGothic"/>
          <w:b w:val="0"/>
          <w:sz w:val="22"/>
        </w:rPr>
        <w:t>구성: birth·growth·maturity·decline·extinction · 성장 점수·위반 기록 · 게이트 분기 · 보류/복구 · 헤더 전파.</w:t>
      </w:r>
    </w:p>
    <w:p>
      <w:pPr>
        <w:spacing w:after="120" w:line="240" w:lineRule="auto"/>
      </w:pPr>
      <w:r>
        <w:rPr>
          <w:rFonts w:ascii="NanumGothic" w:hAnsi="NanumGothic" w:eastAsia="NanumGothic"/>
          <w:b w:val="0"/>
          <w:sz w:val="22"/>
        </w:rPr>
        <w:t>효과: 위험 격리와 IP·관계 보존 병행, Chronicle 승격을 growth·공개 품질 게이트로 제어.</w:t>
      </w:r>
    </w:p>
    <w:p>
      <w:pPr>
        <w:pStyle w:val="Heading1"/>
      </w:pPr>
      <w:r>
        <w:rPr>
          <w:rFonts w:ascii="NanumGothic" w:hAnsi="NanumGothic" w:eastAsia="NanumGothic"/>
          <w:b/>
          <w:sz w:val="28"/>
        </w:rPr>
        <w:t>4.A.7 제7호 — AR 웨어러블 AI 에이전트 행위의 계층적 콘텐츠 출처 인증</w:t>
      </w:r>
    </w:p>
    <w:p>
      <w:pPr>
        <w:spacing w:after="120" w:line="240" w:lineRule="auto"/>
      </w:pPr>
      <w:r>
        <w:rPr>
          <w:rFonts w:ascii="NanumGothic" w:hAnsi="NanumGothic" w:eastAsia="NanumGothic"/>
          <w:b w:val="0"/>
          <w:sz w:val="22"/>
        </w:rPr>
        <w:t>출원번호 10-2026-0121013.</w:t>
      </w:r>
    </w:p>
    <w:p>
      <w:pPr>
        <w:spacing w:after="120" w:line="240" w:lineRule="auto"/>
      </w:pPr>
      <w:r>
        <w:rPr>
          <w:rFonts w:ascii="NanumGothic" w:hAnsi="NanumGothic" w:eastAsia="NanumGothic"/>
          <w:b w:val="0"/>
          <w:sz w:val="22"/>
        </w:rPr>
        <w:t>과제: 촬영 단일 서명만으로는 추론(M2)·표시(M3) 단계 출처가 분리되지 않는다.</w:t>
      </w:r>
    </w:p>
    <w:p>
      <w:pPr>
        <w:spacing w:after="120" w:line="240" w:lineRule="auto"/>
      </w:pPr>
      <w:r>
        <w:rPr>
          <w:rFonts w:ascii="NanumGothic" w:hAnsi="NanumGothic" w:eastAsia="NanumGothic"/>
          <w:b w:val="0"/>
          <w:sz w:val="22"/>
        </w:rPr>
        <w:t>구성: M1 촬영 → M2 에이전트 행위(c2pa.ingredient.v3로 M1 참조) → M3 오버레이·인지(M1·M2 참조) · COSE_Sign1·X.509·해시 오프라인 검증.</w:t>
      </w:r>
    </w:p>
    <w:p>
      <w:pPr>
        <w:spacing w:after="120" w:line="240" w:lineRule="auto"/>
      </w:pPr>
      <w:r>
        <w:rPr>
          <w:rFonts w:ascii="NanumGothic" w:hAnsi="NanumGothic" w:eastAsia="NanumGothic"/>
          <w:b w:val="0"/>
          <w:sz w:val="22"/>
        </w:rPr>
        <w:t>효과: 단절 환경 검증, 단계별 위변조 탐지, 다중 에이전트 신뢰 체인, 촬영–합성 프로비넌스 루프.</w:t>
      </w:r>
    </w:p>
    <w:p>
      <w:pPr>
        <w:pStyle w:val="Heading1"/>
      </w:pPr>
      <w:r>
        <w:rPr>
          <w:rFonts w:ascii="NanumGothic" w:hAnsi="NanumGothic" w:eastAsia="NanumGothic"/>
          <w:b/>
          <w:sz w:val="28"/>
        </w:rPr>
        <w:t>4.A.8 제8호 — SOUL·IDENTITY 기반 3레인 페르소나 미디어 생성·출처 기록</w:t>
      </w:r>
    </w:p>
    <w:p>
      <w:pPr>
        <w:spacing w:after="120" w:line="240" w:lineRule="auto"/>
      </w:pPr>
      <w:r>
        <w:rPr>
          <w:rFonts w:ascii="NanumGothic" w:hAnsi="NanumGothic" w:eastAsia="NanumGothic"/>
          <w:b w:val="0"/>
          <w:sz w:val="22"/>
        </w:rPr>
        <w:t>출원번호 10-2026-0121018.</w:t>
      </w:r>
    </w:p>
    <w:p>
      <w:pPr>
        <w:spacing w:after="120" w:line="240" w:lineRule="auto"/>
      </w:pPr>
      <w:r>
        <w:rPr>
          <w:rFonts w:ascii="NanumGothic" w:hAnsi="NanumGothic" w:eastAsia="NanumGothic"/>
          <w:b w:val="0"/>
          <w:sz w:val="22"/>
        </w:rPr>
        <w:t>과제: 페르소나 선행 로드 없이 레인마다 정체성이 붕괴하고, 미검증 산출물 서명은 출처를 오염시킨다.</w:t>
      </w:r>
    </w:p>
    <w:p>
      <w:pPr>
        <w:spacing w:after="120" w:line="240" w:lineRule="auto"/>
      </w:pPr>
      <w:r>
        <w:rPr>
          <w:rFonts w:ascii="NanumGothic" w:hAnsi="NanumGothic" w:eastAsia="NanumGothic"/>
          <w:b w:val="0"/>
          <w:sz w:val="22"/>
        </w:rPr>
        <w:t>구성: 페르소나 로더(필수 필드 누락 시 거부) → 레인 라우터(동일 personaPackHash) → 충실도 심사(pass/requeue/block) → 통과분만 C2PA v2.4 삽입.</w:t>
      </w:r>
    </w:p>
    <w:p>
      <w:pPr>
        <w:spacing w:after="120" w:line="240" w:lineRule="auto"/>
      </w:pPr>
      <w:r>
        <w:rPr>
          <w:rFonts w:ascii="NanumGothic" w:hAnsi="NanumGothic" w:eastAsia="NanumGothic"/>
          <w:b w:val="0"/>
          <w:sz w:val="22"/>
        </w:rPr>
        <w:t>효과: 3레인 정체성 일치, 자동 재큐, 통과 산출물에만 출처 서명.</w:t>
      </w:r>
    </w:p>
    <w:p>
      <w:pPr>
        <w:pStyle w:val="Heading1"/>
      </w:pPr>
      <w:r>
        <w:rPr>
          <w:rFonts w:ascii="NanumGothic" w:hAnsi="NanumGothic" w:eastAsia="NanumGothic"/>
          <w:b/>
          <w:sz w:val="28"/>
        </w:rPr>
        <w:t>4.A.9 제9호 — 1:1 대화 턴 엔진 등록부 단계 게이트·미호출 후보 추적·선행 안전 차단</w:t>
      </w:r>
    </w:p>
    <w:p>
      <w:pPr>
        <w:spacing w:after="120" w:line="240" w:lineRule="auto"/>
      </w:pPr>
      <w:r>
        <w:rPr>
          <w:rFonts w:ascii="NanumGothic" w:hAnsi="NanumGothic" w:eastAsia="NanumGothic"/>
          <w:b w:val="0"/>
          <w:sz w:val="22"/>
        </w:rPr>
        <w:t>출원번호 10-2026-0123982.</w:t>
      </w:r>
    </w:p>
    <w:p>
      <w:pPr>
        <w:spacing w:after="120" w:line="240" w:lineRule="auto"/>
      </w:pPr>
      <w:r>
        <w:rPr>
          <w:rFonts w:ascii="NanumGothic" w:hAnsi="NanumGothic" w:eastAsia="NanumGothic"/>
          <w:b w:val="0"/>
          <w:sz w:val="22"/>
        </w:rPr>
        <w:t>과제: 전 엔진 호출 비용·지연, 미호출 흔적 부재, 사후 안전으로 인한 불필요 추론, 분산 로그로 턴 재구성 불가.</w:t>
      </w:r>
    </w:p>
    <w:p>
      <w:pPr>
        <w:spacing w:after="120" w:line="240" w:lineRule="auto"/>
      </w:pPr>
      <w:r>
        <w:rPr>
          <w:rFonts w:ascii="NanumGothic" w:hAnsi="NanumGothic" w:eastAsia="NanumGothic"/>
          <w:b w:val="0"/>
          <w:sz w:val="22"/>
        </w:rPr>
        <w:t>구성: 턴 상관 식별자 · 단계 게이트 · 미호출 엔진마다 후보 전용·비용 0 추적 · LLM 전 안전 차단 시 미전송 토큰 추정 기록 · 하류 미호출.</w:t>
      </w:r>
    </w:p>
    <w:p>
      <w:pPr>
        <w:spacing w:after="120" w:line="240" w:lineRule="auto"/>
      </w:pPr>
      <w:r>
        <w:rPr>
          <w:rFonts w:ascii="NanumGothic" w:hAnsi="NanumGothic" w:eastAsia="NanumGothic"/>
          <w:b w:val="0"/>
          <w:sz w:val="22"/>
        </w:rPr>
        <w:t>효과: 호출·미호출·차단을 한 상관 식별자로 감사 재현. 명세서 기재 정량은 출원인 자체 측정이며 외부 공인 성적이 아니다.</w:t>
      </w:r>
    </w:p>
    <w:p>
      <w:pPr>
        <w:pStyle w:val="Heading1"/>
      </w:pPr>
      <w:r>
        <w:rPr>
          <w:rFonts w:ascii="NanumGothic" w:hAnsi="NanumGothic" w:eastAsia="NanumGothic"/>
          <w:b/>
          <w:sz w:val="28"/>
        </w:rPr>
        <w:t>4.A.10 제10호 — 미성년자 복수 서비스 면 사전 기능 게이트·감사 추적</w:t>
      </w:r>
    </w:p>
    <w:p>
      <w:pPr>
        <w:spacing w:after="120" w:line="240" w:lineRule="auto"/>
      </w:pPr>
      <w:r>
        <w:rPr>
          <w:rFonts w:ascii="NanumGothic" w:hAnsi="NanumGothic" w:eastAsia="NanumGothic"/>
          <w:b w:val="0"/>
          <w:sz w:val="22"/>
        </w:rPr>
        <w:t>출원번호 10-2026-0124000.</w:t>
      </w:r>
    </w:p>
    <w:p>
      <w:pPr>
        <w:spacing w:after="120" w:line="240" w:lineRule="auto"/>
      </w:pPr>
      <w:r>
        <w:rPr>
          <w:rFonts w:ascii="NanumGothic" w:hAnsi="NanumGothic" w:eastAsia="NanumGothic"/>
          <w:b w:val="0"/>
          <w:sz w:val="22"/>
        </w:rPr>
        <w:t>과제: surface 정책 누수, 화면만 막고 API는 통과하는 형식적 차단, 면마다 다른 미성년 판정, 수정 가능한 로그만으로 재현 불가.</w:t>
      </w:r>
    </w:p>
    <w:p>
      <w:pPr>
        <w:spacing w:after="120" w:line="240" w:lineRule="auto"/>
      </w:pPr>
      <w:r>
        <w:rPr>
          <w:rFonts w:ascii="NanumGothic" w:hAnsi="NanumGothic" w:eastAsia="NanumGothic"/>
          <w:b w:val="0"/>
          <w:sz w:val="22"/>
        </w:rPr>
        <w:t>구성: 단일 미성년 프로필 · API 경로별 surface 정책 사전 평가 · 차단 시 하류 미호출 · 차단 사유·surface·상관 식별자·후보 전용 감사.</w:t>
      </w:r>
    </w:p>
    <w:p>
      <w:pPr>
        <w:spacing w:after="120" w:line="240" w:lineRule="auto"/>
      </w:pPr>
      <w:r>
        <w:rPr>
          <w:rFonts w:ascii="NanumGothic" w:hAnsi="NanumGothic" w:eastAsia="NanumGothic"/>
          <w:b w:val="0"/>
          <w:sz w:val="22"/>
        </w:rPr>
        <w:t>효과: 누수·형식적 차단 감소, 사전 차단 증거 보존. 정량은 명세서 실시예 기준·외부 공인 성적 아님.</w:t>
      </w:r>
    </w:p>
    <w:p>
      <w:pPr>
        <w:pStyle w:val="Heading1"/>
      </w:pPr>
      <w:r>
        <w:rPr>
          <w:rFonts w:ascii="NanumGothic" w:hAnsi="NanumGothic" w:eastAsia="NanumGothic"/>
          <w:b/>
          <w:sz w:val="28"/>
        </w:rPr>
        <w:t>4.B 저작권 — 제품·규범 표현물 5건</w:t>
      </w:r>
    </w:p>
    <w:p>
      <w:pPr>
        <w:spacing w:after="120" w:line="240" w:lineRule="auto"/>
      </w:pPr>
      <w:r>
        <w:rPr>
          <w:rFonts w:ascii="NanumGothic" w:hAnsi="NanumGothic" w:eastAsia="NanumGothic"/>
          <w:b w:val="0"/>
          <w:sz w:val="22"/>
        </w:rPr>
        <w:t>저작권은 ‘목록’이 아니라 핵심 기술의 표현 축이다. 특허가 방법·시스템을 보호한다면, 저작권은 그 방법이 구현된 프로그램·규범 문서의 표현을 등록한다. 기관: 한국저작권위원회 · 『저작권법』 제53조. 등록증 PDF 실측.</w:t>
      </w:r>
    </w:p>
    <w:p>
      <w:pPr>
        <w:pStyle w:val="Heading1"/>
      </w:pPr>
      <w:r>
        <w:rPr>
          <w:rFonts w:ascii="NanumGothic" w:hAnsi="NanumGothic" w:eastAsia="NanumGothic"/>
          <w:b/>
          <w:sz w:val="28"/>
        </w:rPr>
        <w:t>4.B.1 C-2026-036487 — 미디어 콘텐츠 출처 인증 포털 (프로그램)</w:t>
      </w:r>
    </w:p>
    <w:p>
      <w:pPr>
        <w:spacing w:after="120" w:line="240" w:lineRule="auto"/>
      </w:pPr>
      <w:r>
        <w:rPr>
          <w:rFonts w:ascii="NanumGothic" w:hAnsi="NanumGothic" w:eastAsia="NanumGothic"/>
          <w:b w:val="0"/>
          <w:sz w:val="22"/>
        </w:rPr>
        <w:t>등록일 2026.07.23 · 창작 2026.07.05 · 저작자 주식회사 젠룩.</w:t>
      </w:r>
    </w:p>
    <w:p>
      <w:pPr>
        <w:spacing w:after="120" w:line="240" w:lineRule="auto"/>
      </w:pPr>
      <w:r>
        <w:rPr>
          <w:rFonts w:ascii="NanumGothic" w:hAnsi="NanumGothic" w:eastAsia="NanumGothic"/>
          <w:b w:val="0"/>
          <w:sz w:val="22"/>
        </w:rPr>
        <w:t>기술 역할: C2PA 매니페스트 embed·verify·conformance, Trust List/CA 신청·추적 UI, 운영 투명성 대시보드. 특허 제7·8호의 출처 축을 공개 포털 표현물로 고정한다. CA Trust List·Generator는 심사중 상태를 제품 카피에 정직 반영한다.</w:t>
      </w:r>
    </w:p>
    <w:p>
      <w:pPr>
        <w:pStyle w:val="Heading1"/>
      </w:pPr>
      <w:r>
        <w:rPr>
          <w:rFonts w:ascii="NanumGothic" w:hAnsi="NanumGothic" w:eastAsia="NanumGothic"/>
          <w:b/>
          <w:sz w:val="28"/>
        </w:rPr>
        <w:t>4.B.2 C-2026-037388 — XenLook On (프로그램)</w:t>
      </w:r>
    </w:p>
    <w:p>
      <w:pPr>
        <w:spacing w:after="120" w:line="240" w:lineRule="auto"/>
      </w:pPr>
      <w:r>
        <w:rPr>
          <w:rFonts w:ascii="NanumGothic" w:hAnsi="NanumGothic" w:eastAsia="NanumGothic"/>
          <w:b w:val="0"/>
          <w:sz w:val="22"/>
        </w:rPr>
        <w:t>등록일 2026.07.30 · 제호: XenLook On - 에이전트 대화·갤러리·프로필 · 저작자 주식회사 젠룩.</w:t>
      </w:r>
    </w:p>
    <w:p>
      <w:pPr>
        <w:spacing w:after="120" w:line="240" w:lineRule="auto"/>
      </w:pPr>
      <w:r>
        <w:rPr>
          <w:rFonts w:ascii="NanumGothic" w:hAnsi="NanumGothic" w:eastAsia="NanumGothic"/>
          <w:b w:val="0"/>
          <w:sz w:val="22"/>
        </w:rPr>
        <w:t>기술 역할: 1:1 대화 셸, 에이전트 갤러리·프로필·생애사 탭, 온보딩. 특허 제4·5·6·9·10호가 동작하는 주 대화 표면의 표현물이다.</w:t>
      </w:r>
    </w:p>
    <w:p>
      <w:pPr>
        <w:pStyle w:val="Heading1"/>
      </w:pPr>
      <w:r>
        <w:rPr>
          <w:rFonts w:ascii="NanumGothic" w:hAnsi="NanumGothic" w:eastAsia="NanumGothic"/>
          <w:b/>
          <w:sz w:val="28"/>
        </w:rPr>
        <w:t>4.B.3 C-2026-037389 — XenLook Landing (프로그램)</w:t>
      </w:r>
    </w:p>
    <w:p>
      <w:pPr>
        <w:spacing w:after="120" w:line="240" w:lineRule="auto"/>
      </w:pPr>
      <w:r>
        <w:rPr>
          <w:rFonts w:ascii="NanumGothic" w:hAnsi="NanumGothic" w:eastAsia="NanumGothic"/>
          <w:b w:val="0"/>
          <w:sz w:val="22"/>
        </w:rPr>
        <w:t>등록일 2026.07.30 · 공개 마케팅·컴플라이언스·블로그 표면 · 저작자 주식회사 젠룩.</w:t>
      </w:r>
    </w:p>
    <w:p>
      <w:pPr>
        <w:spacing w:after="120" w:line="240" w:lineRule="auto"/>
      </w:pPr>
      <w:r>
        <w:rPr>
          <w:rFonts w:ascii="NanumGothic" w:hAnsi="NanumGothic" w:eastAsia="NanumGothic"/>
          <w:b w:val="0"/>
          <w:sz w:val="22"/>
        </w:rPr>
        <w:t>기술 역할: 제품·정책·인증 허브·지식재산 공시의 공개 진입점. 핵심 기술 C의신뢰 상태)와 IP 공시를 사용자에게 전달하는 표현물이다.</w:t>
      </w:r>
    </w:p>
    <w:p>
      <w:pPr>
        <w:pStyle w:val="Heading1"/>
      </w:pPr>
      <w:r>
        <w:rPr>
          <w:rFonts w:ascii="NanumGothic" w:hAnsi="NanumGothic" w:eastAsia="NanumGothic"/>
          <w:b/>
          <w:sz w:val="28"/>
        </w:rPr>
        <w:t>4.B.4 C-2026-037390 — XenLook Signal (프로그램)</w:t>
      </w:r>
    </w:p>
    <w:p>
      <w:pPr>
        <w:spacing w:after="120" w:line="240" w:lineRule="auto"/>
      </w:pPr>
      <w:r>
        <w:rPr>
          <w:rFonts w:ascii="NanumGothic" w:hAnsi="NanumGothic" w:eastAsia="NanumGothic"/>
          <w:b w:val="0"/>
          <w:sz w:val="22"/>
        </w:rPr>
        <w:t>등록일 2026.07.30 · AI 안전 시뮬레이션·기술 질문 아카이브 · 저작자 주식회사 젠룩.</w:t>
      </w:r>
    </w:p>
    <w:p>
      <w:pPr>
        <w:spacing w:after="120" w:line="240" w:lineRule="auto"/>
      </w:pPr>
      <w:r>
        <w:rPr>
          <w:rFonts w:ascii="NanumGothic" w:hAnsi="NanumGothic" w:eastAsia="NanumGothic"/>
          <w:b w:val="0"/>
          <w:sz w:val="22"/>
        </w:rPr>
        <w:t>기술 역할: 안전·기술 질의·아카이브 표면. 특허 제1호 공개 감사·검증 축과 맞물리는 공개 실험·기록 표현물이다.</w:t>
      </w:r>
    </w:p>
    <w:p>
      <w:pPr>
        <w:pStyle w:val="Heading1"/>
      </w:pPr>
      <w:r>
        <w:rPr>
          <w:rFonts w:ascii="NanumGothic" w:hAnsi="NanumGothic" w:eastAsia="NanumGothic"/>
          <w:b/>
          <w:sz w:val="28"/>
        </w:rPr>
        <w:t>4.B.5 C-2026-037563 — AI 에이전트 헌법 (어문저작물)</w:t>
      </w:r>
    </w:p>
    <w:p>
      <w:pPr>
        <w:spacing w:after="120" w:line="240" w:lineRule="auto"/>
      </w:pPr>
      <w:r>
        <w:rPr>
          <w:rFonts w:ascii="NanumGothic" w:hAnsi="NanumGothic" w:eastAsia="NanumGothic"/>
          <w:b w:val="0"/>
          <w:sz w:val="22"/>
        </w:rPr>
        <w:t>등록일 2026.07.31 · 창작 2026.05.18 · 공표 2026.06.01 · 공동저작자 양연경·남현우.</w:t>
      </w:r>
    </w:p>
    <w:p>
      <w:pPr>
        <w:spacing w:after="120" w:line="240" w:lineRule="auto"/>
      </w:pPr>
      <w:r>
        <w:rPr>
          <w:rFonts w:ascii="NanumGothic" w:hAnsi="NanumGothic" w:eastAsia="NanumGothic"/>
          <w:b w:val="0"/>
          <w:sz w:val="22"/>
        </w:rPr>
        <w:t>기술 역할: 에이전트 운영·윤리·정체성 규범의 어문 표현. 특허 제9호의 헌법형 선행 안전 차단·품질 정책과 규범적으로 연결된다. 프로그램 저작권과 별도로 어문 등록된다.</w:t>
      </w:r>
    </w:p>
    <w:p>
      <w:pPr>
        <w:pStyle w:val="Heading1"/>
      </w:pPr>
      <w:r>
        <w:rPr>
          <w:rFonts w:ascii="NanumGothic" w:hAnsi="NanumGothic" w:eastAsia="NanumGothic"/>
          <w:b/>
          <w:sz w:val="28"/>
        </w:rPr>
        <w:t>4.C 신뢰·거버넌스 (핵심 기술 · 상세)</w:t>
      </w:r>
    </w:p>
    <w:p>
      <w:pPr>
        <w:spacing w:after="120" w:line="240" w:lineRule="auto"/>
      </w:pPr>
      <w:r>
        <w:rPr>
          <w:rFonts w:ascii="NanumGothic" w:hAnsi="NanumGothic" w:eastAsia="NanumGothic"/>
          <w:b w:val="0"/>
          <w:sz w:val="22"/>
        </w:rPr>
        <w:t>신뢰·거버넌스는 부록이 아니라 핵심 기술이다. 특허·저작권이 ‘무엇을 만들었는가’라면, 본 절은 ‘어떻게 검증·공시·심사 상태를 운영하는가’이다. 상태를 섞어 Certified처럼 쓰지 않는다.</w:t>
      </w:r>
    </w:p>
    <w:p>
      <w:pPr>
        <w:pStyle w:val="Heading1"/>
      </w:pPr>
      <w:r>
        <w:rPr>
          <w:rFonts w:ascii="NanumGothic" w:hAnsi="NanumGothic" w:eastAsia="NanumGothic"/>
          <w:b/>
          <w:sz w:val="28"/>
        </w:rPr>
        <w:t>4.C.1 상태 정의 (고정)</w:t>
      </w:r>
    </w:p>
    <w:p>
      <w:pPr>
        <w:pStyle w:val="ListBullet"/>
      </w:pPr>
      <w:r>
        <w:rPr>
          <w:rFonts w:ascii="NanumGothic" w:hAnsi="NanumGothic" w:eastAsia="NanumGothic"/>
          <w:b w:val="0"/>
          <w:sz w:val="22"/>
        </w:rPr>
        <w:t>자가평가 — 내부 점검·공개 증빙 팩 완료. 제3자 인증서 아님</w:t>
      </w:r>
    </w:p>
    <w:p>
      <w:pPr>
        <w:pStyle w:val="ListBullet"/>
      </w:pPr>
      <w:r>
        <w:rPr>
          <w:rFonts w:ascii="NanumGothic" w:hAnsi="NanumGothic" w:eastAsia="NanumGothic"/>
          <w:b w:val="0"/>
          <w:sz w:val="22"/>
        </w:rPr>
        <w:t>등재 — 외부 레지스트리·멤버십에 게시된 사실</w:t>
      </w:r>
    </w:p>
    <w:p>
      <w:pPr>
        <w:pStyle w:val="ListBullet"/>
      </w:pPr>
      <w:r>
        <w:rPr>
          <w:rFonts w:ascii="NanumGothic" w:hAnsi="NanumGothic" w:eastAsia="NanumGothic"/>
          <w:b w:val="0"/>
          <w:sz w:val="22"/>
        </w:rPr>
        <w:t>심사중 — 외부 심사가 진행 중이며 승인·등재 완료가 아님</w:t>
      </w:r>
    </w:p>
    <w:p>
      <w:pPr>
        <w:pStyle w:val="ListBullet"/>
      </w:pPr>
      <w:r>
        <w:rPr>
          <w:rFonts w:ascii="NanumGothic" w:hAnsi="NanumGothic" w:eastAsia="NanumGothic"/>
          <w:b w:val="0"/>
          <w:sz w:val="22"/>
        </w:rPr>
        <w:t>로드맵 — 일정·계획만 존재하거나 미착수</w:t>
      </w:r>
    </w:p>
    <w:p>
      <w:pPr>
        <w:pStyle w:val="ListBullet"/>
      </w:pPr>
      <w:r>
        <w:rPr>
          <w:rFonts w:ascii="NanumGothic" w:hAnsi="NanumGothic" w:eastAsia="NanumGothic"/>
          <w:b w:val="0"/>
          <w:sz w:val="22"/>
        </w:rPr>
        <w:t>보유 아님 — Certified / CE 부착 / Trust List 등재 완료 등 주장 금지</w:t>
      </w:r>
    </w:p>
    <w:p>
      <w:pPr>
        <w:pStyle w:val="Heading1"/>
      </w:pPr>
      <w:r>
        <w:rPr>
          <w:rFonts w:ascii="NanumGothic" w:hAnsi="NanumGothic" w:eastAsia="NanumGothic"/>
          <w:b/>
          <w:sz w:val="28"/>
        </w:rPr>
        <w:t>4.C.2 안전·품질 운영 (제품 내 거버넌스)</w:t>
      </w:r>
    </w:p>
    <w:p>
      <w:pPr>
        <w:spacing w:after="120" w:line="240" w:lineRule="auto"/>
      </w:pPr>
      <w:r>
        <w:rPr>
          <w:rFonts w:ascii="NanumGothic" w:hAnsi="NanumGothic" w:eastAsia="NanumGothic"/>
          <w:b w:val="0"/>
          <w:sz w:val="22"/>
        </w:rPr>
        <w:t>대화 턴은 안전 게이트와 엔진 등록부·단계 게이트를 통과한다(특허 제9호). 미성년은 surface·API 경로 사전 게이트로 하류 호출을 막는다(특허 제10호). 페르소나 미디어는 충실도 심사 통과 후에만 출처 서명을 붙인다(특허 제8호). 공개 전 검증·감사 레코드는 제1호 축으로 남긴다.</w:t>
      </w:r>
    </w:p>
    <w:p>
      <w:pPr>
        <w:spacing w:after="120" w:line="240" w:lineRule="auto"/>
      </w:pPr>
      <w:r>
        <w:rPr>
          <w:rFonts w:ascii="NanumGothic" w:hAnsi="NanumGothic" w:eastAsia="NanumGothic"/>
          <w:b w:val="0"/>
          <w:sz w:val="22"/>
        </w:rPr>
        <w:t>품질 루브릭(공감·인사·정체성 등 최소 조건·AI 주장 금지)과 dual-LLM terminal chain은 운영 정책으로 강제하며, 이를 ‘제품 100점’ 또는 법적 클리어런스로 대체 주장하지 않는다.</w:t>
      </w:r>
    </w:p>
    <w:p>
      <w:pPr>
        <w:pStyle w:val="Heading1"/>
      </w:pPr>
      <w:r>
        <w:rPr>
          <w:rFonts w:ascii="NanumGothic" w:hAnsi="NanumGothic" w:eastAsia="NanumGothic"/>
          <w:b/>
          <w:sz w:val="28"/>
        </w:rPr>
        <w:t>4.C.3 미디어 출처 거버넌스 (C2PA)</w:t>
      </w:r>
    </w:p>
    <w:p>
      <w:pPr>
        <w:spacing w:after="120" w:line="240" w:lineRule="auto"/>
      </w:pPr>
      <w:r>
        <w:rPr>
          <w:rFonts w:ascii="NanumGothic" w:hAnsi="NanumGothic" w:eastAsia="NanumGothic"/>
          <w:b w:val="0"/>
          <w:sz w:val="22"/>
        </w:rPr>
        <w:t>C2PA Certification Authority Agreement는 체결되었다(2026-06-13). 영토는 한국→일본(KR→JP)이며 글로벌 CA를 주장하지 않는다.</w:t>
      </w:r>
    </w:p>
    <w:p>
      <w:pPr>
        <w:spacing w:after="120" w:line="240" w:lineRule="auto"/>
      </w:pPr>
      <w:r>
        <w:rPr>
          <w:rFonts w:ascii="NanumGothic" w:hAnsi="NanumGothic" w:eastAsia="NanumGothic"/>
          <w:b w:val="0"/>
          <w:sz w:val="22"/>
        </w:rPr>
        <w:t>Trust List 등재와 Generator 프로그램은 현재 심사중이다. 공개 카피·포털·본 백서는 ‘심사중/under review’로만 표기한다. 등재 완료·승인 완료로 쓰지 않는다.</w:t>
      </w:r>
    </w:p>
    <w:p>
      <w:pPr>
        <w:spacing w:after="120" w:line="240" w:lineRule="auto"/>
      </w:pPr>
      <w:r>
        <w:rPr>
          <w:rFonts w:ascii="NanumGothic" w:hAnsi="NanumGothic" w:eastAsia="NanumGothic"/>
          <w:b w:val="0"/>
          <w:sz w:val="22"/>
        </w:rPr>
        <w:t>저작권 등록 포털(C-2026-036487)이 이 거버넌스의 공개 표현물이다. 계층적 매니페스트(M1–M3)·3레인 서명 게이트는 특허 제7·8호와 연결된다.</w:t>
      </w:r>
    </w:p>
    <w:p>
      <w:pPr>
        <w:pStyle w:val="Heading1"/>
      </w:pPr>
      <w:r>
        <w:rPr>
          <w:rFonts w:ascii="NanumGothic" w:hAnsi="NanumGothic" w:eastAsia="NanumGothic"/>
          <w:b/>
          <w:sz w:val="28"/>
        </w:rPr>
        <w:t>4.C.4 외부 프레임워크·멤버십 (상세 현황)</w:t>
      </w:r>
    </w:p>
    <w:p>
      <w:pPr>
        <w:spacing w:after="120" w:line="240" w:lineRule="auto"/>
      </w:pPr>
      <w:r>
        <w:rPr>
          <w:rFonts w:ascii="NanumGothic" w:hAnsi="NanumGothic" w:eastAsia="NanumGothic"/>
          <w:b w:val="0"/>
          <w:sz w:val="22"/>
        </w:rPr>
        <w:t>상세 허브: https://xenlook.com/ai-certification · https://xenlook.com/compliance</w:t>
      </w:r>
    </w:p>
    <w:p>
      <w:pPr>
        <w:pStyle w:val="ListBullet"/>
      </w:pPr>
      <w:r>
        <w:rPr>
          <w:rFonts w:ascii="NanumGothic" w:hAnsi="NanumGothic" w:eastAsia="NanumGothic"/>
          <w:b w:val="0"/>
          <w:sz w:val="22"/>
        </w:rPr>
        <w:t>IMDA AI Verify (Singapore) — 11원칙 자가평가 완료 · 증빙 팩 CI 유지 · IMDA registry certification 아님 · 공개 페이지에서 자가평가로 표기</w:t>
      </w:r>
    </w:p>
    <w:p>
      <w:pPr>
        <w:pStyle w:val="ListBullet"/>
      </w:pPr>
      <w:r>
        <w:rPr>
          <w:rFonts w:ascii="NanumGothic" w:hAnsi="NanumGothic" w:eastAsia="NanumGothic"/>
          <w:b w:val="0"/>
          <w:sz w:val="22"/>
        </w:rPr>
        <w:t>TTA genAI / Trust Ops — 자가평가·운영 매핑 문서화 · TTA CAT 공식 시험 수료 주장 없음 · CAT는 로드맵(예: 일정 도래 시 신청)</w:t>
      </w:r>
    </w:p>
    <w:p>
      <w:pPr>
        <w:pStyle w:val="ListBullet"/>
      </w:pPr>
      <w:r>
        <w:rPr>
          <w:rFonts w:ascii="NanumGothic" w:hAnsi="NanumGothic" w:eastAsia="NanumGothic"/>
          <w:b w:val="0"/>
          <w:sz w:val="22"/>
        </w:rPr>
        <w:t>NIST AI RMF — 기능·리스크를 RMF 함수에 매핑한 증빙 · NIST 인증서 보유 주장 없음</w:t>
      </w:r>
    </w:p>
    <w:p>
      <w:pPr>
        <w:pStyle w:val="ListBullet"/>
      </w:pPr>
      <w:r>
        <w:rPr>
          <w:rFonts w:ascii="NanumGothic" w:hAnsi="NanumGothic" w:eastAsia="NanumGothic"/>
          <w:b w:val="0"/>
          <w:sz w:val="22"/>
        </w:rPr>
        <w:t>OWASP LLM Top 10 — 위협 항목별 완화·게이트 매핑 · 인증 프로그램 아님</w:t>
      </w:r>
    </w:p>
    <w:p>
      <w:pPr>
        <w:pStyle w:val="ListBullet"/>
      </w:pPr>
      <w:r>
        <w:rPr>
          <w:rFonts w:ascii="NanumGothic" w:hAnsi="NanumGothic" w:eastAsia="NanumGothic"/>
          <w:b w:val="0"/>
          <w:sz w:val="22"/>
        </w:rPr>
        <w:t>CSA STAR Level 1 — Cloud Security Alliance 레지스트리 등재 · self-assessment 성격 · 등재일 게시분(2026-06-12) 기준</w:t>
      </w:r>
    </w:p>
    <w:p>
      <w:pPr>
        <w:pStyle w:val="ListBullet"/>
      </w:pPr>
      <w:r>
        <w:rPr>
          <w:rFonts w:ascii="NanumGothic" w:hAnsi="NanumGothic" w:eastAsia="NanumGothic"/>
          <w:b w:val="0"/>
          <w:sz w:val="22"/>
        </w:rPr>
        <w:t>CAI (Coalition for Content Provenance and Authenticity) — 멤버십 등재</w:t>
      </w:r>
    </w:p>
    <w:p>
      <w:pPr>
        <w:pStyle w:val="ListBullet"/>
      </w:pPr>
      <w:r>
        <w:rPr>
          <w:rFonts w:ascii="NanumGothic" w:hAnsi="NanumGothic" w:eastAsia="NanumGothic"/>
          <w:b w:val="0"/>
          <w:sz w:val="22"/>
        </w:rPr>
        <w:t>C2PA CA Agreement — 체결 · Trust List·Generator 심사중 (위 4.C.3)</w:t>
      </w:r>
    </w:p>
    <w:p>
      <w:pPr>
        <w:pStyle w:val="ListBullet"/>
      </w:pPr>
      <w:r>
        <w:rPr>
          <w:rFonts w:ascii="NanumGothic" w:hAnsi="NanumGothic" w:eastAsia="NanumGothic"/>
          <w:b w:val="0"/>
          <w:sz w:val="22"/>
        </w:rPr>
        <w:t>NVIDIA Inception — Stage 1 등재</w:t>
      </w:r>
    </w:p>
    <w:p>
      <w:pPr>
        <w:pStyle w:val="ListBullet"/>
      </w:pPr>
      <w:r>
        <w:rPr>
          <w:rFonts w:ascii="NanumGothic" w:hAnsi="NanumGothic" w:eastAsia="NanumGothic"/>
          <w:b w:val="0"/>
          <w:sz w:val="22"/>
        </w:rPr>
        <w:t>EU CE / CRA — 준비·잔여 작업 추적 · CE 마킹 부착·적합 선언 완료 주장 없음</w:t>
      </w:r>
    </w:p>
    <w:p>
      <w:pPr>
        <w:pStyle w:val="ListBullet"/>
      </w:pPr>
      <w:r>
        <w:rPr>
          <w:rFonts w:ascii="NanumGothic" w:hAnsi="NanumGothic" w:eastAsia="NanumGothic"/>
          <w:b w:val="0"/>
          <w:sz w:val="22"/>
        </w:rPr>
        <w:t>WCAG 2.2 AA — 내부 접근성 게이트 · 제3자 감사 성적서로 대체 주장 없음</w:t>
      </w:r>
    </w:p>
    <w:p>
      <w:pPr>
        <w:pStyle w:val="ListBullet"/>
      </w:pPr>
      <w:r>
        <w:rPr>
          <w:rFonts w:ascii="NanumGothic" w:hAnsi="NanumGothic" w:eastAsia="NanumGothic"/>
          <w:b w:val="0"/>
          <w:sz w:val="22"/>
        </w:rPr>
        <w:t>대한민국 AI 기본법 관련 체크리스트 — 내부 점검·이용자 고지 · 정부 인증·허가로 오해될 표기 금지</w:t>
      </w:r>
    </w:p>
    <w:p>
      <w:pPr>
        <w:pStyle w:val="ListBullet"/>
      </w:pPr>
      <w:r>
        <w:rPr>
          <w:rFonts w:ascii="NanumGothic" w:hAnsi="NanumGothic" w:eastAsia="NanumGothic"/>
          <w:b w:val="0"/>
          <w:sz w:val="22"/>
        </w:rPr>
        <w:t>일본 AI 가이드라인·미국 공시·EU Art.50 작업 — 관할 공시 허브에 문서화 · 완료 Certified 아님</w:t>
      </w:r>
    </w:p>
    <w:p>
      <w:pPr>
        <w:pStyle w:val="Heading1"/>
      </w:pPr>
      <w:r>
        <w:rPr>
          <w:rFonts w:ascii="NanumGothic" w:hAnsi="NanumGothic" w:eastAsia="NanumGothic"/>
          <w:b/>
          <w:sz w:val="28"/>
        </w:rPr>
        <w:t>4.C.5 거버넌스와 특허·저작권의 결합</w:t>
      </w:r>
    </w:p>
    <w:p>
      <w:pPr>
        <w:pStyle w:val="ListBullet"/>
      </w:pPr>
      <w:r>
        <w:rPr>
          <w:rFonts w:ascii="NanumGothic" w:hAnsi="NanumGothic" w:eastAsia="NanumGothic"/>
          <w:b w:val="0"/>
          <w:sz w:val="22"/>
        </w:rPr>
        <w:t>안전 선행 차단·미호출 추적 (특허 9) ↔ 헌법·품질 정책 (저작권 헌법·On)</w:t>
      </w:r>
    </w:p>
    <w:p>
      <w:pPr>
        <w:pStyle w:val="ListBullet"/>
      </w:pPr>
      <w:r>
        <w:rPr>
          <w:rFonts w:ascii="NanumGothic" w:hAnsi="NanumGothic" w:eastAsia="NanumGothic"/>
          <w:b w:val="0"/>
          <w:sz w:val="22"/>
        </w:rPr>
        <w:t>미성년 surface 게이트 (특허 10) ↔ Landing/On 고지·게이트 UI</w:t>
      </w:r>
    </w:p>
    <w:p>
      <w:pPr>
        <w:pStyle w:val="ListBullet"/>
      </w:pPr>
      <w:r>
        <w:rPr>
          <w:rFonts w:ascii="NanumGothic" w:hAnsi="NanumGothic" w:eastAsia="NanumGothic"/>
          <w:b w:val="0"/>
          <w:sz w:val="22"/>
        </w:rPr>
        <w:t>출처 M1–M3·3레인 서명 (특허 7·8) ↔ C2PA 포털 저작권 · Trust List 심사중 공시</w:t>
      </w:r>
    </w:p>
    <w:p>
      <w:pPr>
        <w:pStyle w:val="ListBullet"/>
      </w:pPr>
      <w:r>
        <w:rPr>
          <w:rFonts w:ascii="NanumGothic" w:hAnsi="NanumGothic" w:eastAsia="NanumGothic"/>
          <w:b w:val="0"/>
          <w:sz w:val="22"/>
        </w:rPr>
        <w:t>공개 전 검증·감사 (특허 1) ↔ Signal·Landing 컴플라이언스 면</w:t>
      </w:r>
    </w:p>
    <w:p>
      <w:pPr>
        <w:pStyle w:val="ListBullet"/>
      </w:pPr>
      <w:r>
        <w:rPr>
          <w:rFonts w:ascii="NanumGothic" w:hAnsi="NanumGothic" w:eastAsia="NanumGothic"/>
          <w:b w:val="0"/>
          <w:sz w:val="22"/>
        </w:rPr>
        <w:t>외부 프레임워크 자가평가/등재/심사중 표 (4.C.4) ↔ /ai-certification 허브</w:t>
      </w:r>
    </w:p>
    <w:p>
      <w:pPr>
        <w:pStyle w:val="Heading1"/>
      </w:pPr>
      <w:r>
        <w:rPr>
          <w:rFonts w:ascii="NanumGothic" w:hAnsi="NanumGothic" w:eastAsia="NanumGothic"/>
          <w:b/>
          <w:sz w:val="28"/>
        </w:rPr>
        <w:t>5. 핵심 기술이 제품을 어떻게 조립하는가</w:t>
      </w:r>
    </w:p>
    <w:p>
      <w:pPr>
        <w:pStyle w:val="ListBullet"/>
      </w:pPr>
      <w:r>
        <w:rPr>
          <w:rFonts w:ascii="NanumGothic" w:hAnsi="NanumGothic" w:eastAsia="NanumGothic"/>
          <w:b w:val="0"/>
          <w:sz w:val="22"/>
        </w:rPr>
        <w:t>파트너 대화(On 저작권): 특허 4·5·6·9·10 + 4.C.2 안전·품질</w:t>
      </w:r>
    </w:p>
    <w:p>
      <w:pPr>
        <w:pStyle w:val="ListBullet"/>
      </w:pPr>
      <w:r>
        <w:rPr>
          <w:rFonts w:ascii="NanumGothic" w:hAnsi="NanumGothic" w:eastAsia="NanumGothic"/>
          <w:b w:val="0"/>
          <w:sz w:val="22"/>
        </w:rPr>
        <w:t>미디어·갤러리: 특허 8(+7) + C2PA 포털 저작권 + 4.C.3 심사중 공시</w:t>
      </w:r>
    </w:p>
    <w:p>
      <w:pPr>
        <w:pStyle w:val="ListBullet"/>
      </w:pPr>
      <w:r>
        <w:rPr>
          <w:rFonts w:ascii="NanumGothic" w:hAnsi="NanumGothic" w:eastAsia="NanumGothic"/>
          <w:b w:val="0"/>
          <w:sz w:val="22"/>
        </w:rPr>
        <w:t>캠퍼스·스튜디오: 특허 2·3 + 특허 1 공개 전 검증</w:t>
      </w:r>
    </w:p>
    <w:p>
      <w:pPr>
        <w:pStyle w:val="ListBullet"/>
      </w:pPr>
      <w:r>
        <w:rPr>
          <w:rFonts w:ascii="NanumGothic" w:hAnsi="NanumGothic" w:eastAsia="NanumGothic"/>
          <w:b w:val="0"/>
          <w:sz w:val="22"/>
        </w:rPr>
        <w:t>공개 신뢰 허브(Landing 저작권): 4.C.4 프레임워크 상세 + IP 공시</w:t>
      </w:r>
    </w:p>
    <w:p>
      <w:pPr>
        <w:pStyle w:val="Heading1"/>
      </w:pPr>
      <w:r>
        <w:rPr>
          <w:rFonts w:ascii="NanumGothic" w:hAnsi="NanumGothic" w:eastAsia="NanumGothic"/>
          <w:b/>
          <w:sz w:val="28"/>
        </w:rPr>
        <w:t>6. 상표</w:t>
      </w:r>
    </w:p>
    <w:p>
      <w:pPr>
        <w:pStyle w:val="ListBullet"/>
      </w:pPr>
      <w:r>
        <w:rPr>
          <w:rFonts w:ascii="NanumGothic" w:hAnsi="NanumGothic" w:eastAsia="NanumGothic"/>
          <w:b w:val="0"/>
          <w:sz w:val="22"/>
        </w:rPr>
        <w:t>표장: XENLOOK 워드마크</w:t>
      </w:r>
    </w:p>
    <w:p>
      <w:pPr>
        <w:pStyle w:val="ListBullet"/>
      </w:pPr>
      <w:r>
        <w:rPr>
          <w:rFonts w:ascii="NanumGothic" w:hAnsi="NanumGothic" w:eastAsia="NanumGothic"/>
          <w:b w:val="0"/>
          <w:sz w:val="22"/>
        </w:rPr>
        <w:t>출원번호: 40-2026-0119385</w:t>
      </w:r>
    </w:p>
    <w:p>
      <w:pPr>
        <w:pStyle w:val="ListBullet"/>
      </w:pPr>
      <w:r>
        <w:rPr>
          <w:rFonts w:ascii="NanumGothic" w:hAnsi="NanumGothic" w:eastAsia="NanumGothic"/>
          <w:b w:val="0"/>
          <w:sz w:val="22"/>
        </w:rPr>
        <w:t>접수번호: 1-1-2026-0720692-53 · 접수일 2026-06-13</w:t>
      </w:r>
    </w:p>
    <w:p>
      <w:pPr>
        <w:pStyle w:val="ListBullet"/>
      </w:pPr>
      <w:r>
        <w:rPr>
          <w:rFonts w:ascii="NanumGothic" w:hAnsi="NanumGothic" w:eastAsia="NanumGothic"/>
          <w:b w:val="0"/>
          <w:sz w:val="22"/>
        </w:rPr>
        <w:t>서류: 상표등록출원서 (제09류를 포함한 3개류)</w:t>
      </w:r>
    </w:p>
    <w:p>
      <w:pPr>
        <w:pStyle w:val="ListBullet"/>
      </w:pPr>
      <w:r>
        <w:rPr>
          <w:rFonts w:ascii="NanumGothic" w:hAnsi="NanumGothic" w:eastAsia="NanumGothic"/>
          <w:b w:val="0"/>
          <w:sz w:val="22"/>
        </w:rPr>
        <w:t>상태: 출원 완료 · 등록 전</w:t>
      </w:r>
    </w:p>
    <w:p>
      <w:pPr>
        <w:pStyle w:val="Heading1"/>
      </w:pPr>
      <w:r>
        <w:rPr>
          <w:rFonts w:ascii="NanumGothic" w:hAnsi="NanumGothic" w:eastAsia="NanumGothic"/>
          <w:b/>
          <w:sz w:val="28"/>
        </w:rPr>
        <w:t>7. 범위와 한계</w:t>
      </w:r>
    </w:p>
    <w:p>
      <w:pPr>
        <w:pStyle w:val="ListBullet"/>
      </w:pPr>
      <w:r>
        <w:rPr>
          <w:rFonts w:ascii="NanumGothic" w:hAnsi="NanumGothic" w:eastAsia="NanumGothic"/>
          <w:b w:val="0"/>
          <w:sz w:val="22"/>
        </w:rPr>
        <w:t>포함: 특허 과제·구성·효과, 저작권 등록 표현물의 기술 역할, 신뢰 거버넌스 상세, 상표, 2027 로드맵</w:t>
      </w:r>
    </w:p>
    <w:p>
      <w:pPr>
        <w:pStyle w:val="ListBullet"/>
      </w:pPr>
      <w:r>
        <w:rPr>
          <w:rFonts w:ascii="NanumGothic" w:hAnsi="NanumGothic" w:eastAsia="NanumGothic"/>
          <w:b w:val="0"/>
          <w:sz w:val="22"/>
        </w:rPr>
        <w:t>비포함: 청구범위 전문·도면 전문·모델 가중치·학습 데이터 구성</w:t>
      </w:r>
    </w:p>
    <w:p>
      <w:pPr>
        <w:pStyle w:val="ListBullet"/>
      </w:pPr>
      <w:r>
        <w:rPr>
          <w:rFonts w:ascii="NanumGothic" w:hAnsi="NanumGothic" w:eastAsia="NanumGothic"/>
          <w:b w:val="0"/>
          <w:sz w:val="22"/>
        </w:rPr>
        <w:t>ASB: 개념만 · 구현 완료 주장 없음</w:t>
      </w:r>
    </w:p>
    <w:p>
      <w:pPr>
        <w:pStyle w:val="ListBullet"/>
      </w:pPr>
      <w:r>
        <w:rPr>
          <w:rFonts w:ascii="NanumGothic" w:hAnsi="NanumGothic" w:eastAsia="NanumGothic"/>
          <w:b w:val="0"/>
          <w:sz w:val="22"/>
        </w:rPr>
        <w:t>명세서 정량 = 출원인 자체 측정 · 외부 공인 성적 아님</w:t>
      </w:r>
    </w:p>
    <w:p>
      <w:pPr>
        <w:pStyle w:val="ListBullet"/>
      </w:pPr>
      <w:r>
        <w:rPr>
          <w:rFonts w:ascii="NanumGothic" w:hAnsi="NanumGothic" w:eastAsia="NanumGothic"/>
          <w:b w:val="0"/>
          <w:sz w:val="22"/>
        </w:rPr>
        <w:t>제품 100점·법적 클리어런스 완결 선언 없음</w:t>
      </w:r>
    </w:p>
    <w:p>
      <w:pPr>
        <w:pStyle w:val="Heading1"/>
      </w:pPr>
      <w:r>
        <w:rPr>
          <w:rFonts w:ascii="NanumGothic" w:hAnsi="NanumGothic" w:eastAsia="NanumGothic"/>
          <w:b/>
          <w:sz w:val="28"/>
        </w:rPr>
        <w:t>8. 제품 로드맵 (2027)</w:t>
      </w:r>
    </w:p>
    <w:p>
      <w:pPr>
        <w:pStyle w:val="ListBullet"/>
      </w:pPr>
      <w:r>
        <w:rPr>
          <w:rFonts w:ascii="NanumGothic" w:hAnsi="NanumGothic" w:eastAsia="NanumGothic"/>
          <w:b w:val="0"/>
          <w:sz w:val="22"/>
        </w:rPr>
        <w:t>2027년 1분기 — XenLook Guild 오픈</w:t>
      </w:r>
    </w:p>
    <w:p>
      <w:pPr>
        <w:pStyle w:val="ListBullet"/>
      </w:pPr>
      <w:r>
        <w:rPr>
          <w:rFonts w:ascii="NanumGothic" w:hAnsi="NanumGothic" w:eastAsia="NanumGothic"/>
          <w:b w:val="0"/>
          <w:sz w:val="22"/>
        </w:rPr>
        <w:t>2027년 1분기 — 에이전트 표준 뇌 ASB (개념 표출)</w:t>
      </w:r>
    </w:p>
    <w:p>
      <w:pPr>
        <w:pStyle w:val="ListBullet"/>
      </w:pPr>
      <w:r>
        <w:rPr>
          <w:rFonts w:ascii="NanumGothic" w:hAnsi="NanumGothic" w:eastAsia="NanumGothic"/>
          <w:b w:val="0"/>
          <w:sz w:val="22"/>
        </w:rPr>
        <w:t>2027년 2~3분기 — 젠룩 월드 (XenLook World)</w:t>
      </w:r>
    </w:p>
    <w:p>
      <w:pPr>
        <w:pStyle w:val="ListBullet"/>
      </w:pPr>
      <w:r>
        <w:rPr>
          <w:rFonts w:ascii="NanumGothic" w:hAnsi="NanumGothic" w:eastAsia="NanumGothic"/>
          <w:b w:val="0"/>
          <w:sz w:val="22"/>
        </w:rPr>
        <w:t>2027년 4분기 — Agent OS 오픈</w:t>
      </w:r>
    </w:p>
    <w:p>
      <w:pPr>
        <w:pStyle w:val="ListBullet"/>
      </w:pPr>
      <w:r>
        <w:rPr>
          <w:rFonts w:ascii="NanumGothic" w:hAnsi="NanumGothic" w:eastAsia="NanumGothic"/>
          <w:b w:val="0"/>
          <w:sz w:val="22"/>
        </w:rPr>
        <w:t>병행 — C2PA Trust List·Generator 심사 · KR→JP CA · 특허 심사청구는 예산·일정</w:t>
      </w:r>
    </w:p>
    <w:p>
      <w:pPr>
        <w:pStyle w:val="Heading1"/>
      </w:pPr>
      <w:r>
        <w:rPr>
          <w:rFonts w:ascii="NanumGothic" w:hAnsi="NanumGothic" w:eastAsia="NanumGothic"/>
          <w:b/>
          <w:sz w:val="28"/>
        </w:rPr>
        <w:t>9. 결론</w:t>
      </w:r>
    </w:p>
    <w:p>
      <w:pPr>
        <w:spacing w:after="120" w:line="240" w:lineRule="auto"/>
      </w:pPr>
      <w:r>
        <w:rPr>
          <w:rFonts w:ascii="NanumGothic" w:hAnsi="NanumGothic" w:eastAsia="NanumGothic"/>
          <w:b w:val="0"/>
          <w:sz w:val="22"/>
        </w:rPr>
        <w:t>핵심 기술은 특허 10건과 저작권 5건, 그리고 그 안에서 상세히 기술한 신뢰·거버넌스다. 인증 배지로 기술을 대체하지 않으며, 심사중·자가평가·등재를 혼동하지 않는다.</w:t>
      </w:r>
    </w:p>
    <w:p>
      <w:pPr>
        <w:pStyle w:val="Heading1"/>
      </w:pPr>
      <w:r>
        <w:rPr>
          <w:rFonts w:ascii="NanumGothic" w:hAnsi="NanumGothic" w:eastAsia="NanumGothic"/>
          <w:b/>
          <w:sz w:val="28"/>
        </w:rPr>
        <w:t>부록 A. 공개 면·문서 인덱스</w:t>
      </w:r>
    </w:p>
    <w:p>
      <w:pPr>
        <w:pStyle w:val="ListBullet"/>
      </w:pPr>
      <w:r>
        <w:rPr>
          <w:rFonts w:ascii="NanumGothic" w:hAnsi="NanumGothic" w:eastAsia="NanumGothic"/>
          <w:b w:val="0"/>
          <w:sz w:val="22"/>
        </w:rPr>
        <w:t>https://xenlook.com</w:t>
      </w:r>
    </w:p>
    <w:p>
      <w:pPr>
        <w:pStyle w:val="ListBullet"/>
      </w:pPr>
      <w:r>
        <w:rPr>
          <w:rFonts w:ascii="NanumGothic" w:hAnsi="NanumGothic" w:eastAsia="NanumGothic"/>
          <w:b w:val="0"/>
          <w:sz w:val="22"/>
        </w:rPr>
        <w:t>https://on.xenlook.com</w:t>
      </w:r>
    </w:p>
    <w:p>
      <w:pPr>
        <w:pStyle w:val="ListBullet"/>
      </w:pPr>
      <w:r>
        <w:rPr>
          <w:rFonts w:ascii="NanumGothic" w:hAnsi="NanumGothic" w:eastAsia="NanumGothic"/>
          <w:b w:val="0"/>
          <w:sz w:val="22"/>
        </w:rPr>
        <w:t>https://c2pa.xenlook.com</w:t>
      </w:r>
    </w:p>
    <w:p>
      <w:pPr>
        <w:pStyle w:val="ListBullet"/>
      </w:pPr>
      <w:r>
        <w:rPr>
          <w:rFonts w:ascii="NanumGothic" w:hAnsi="NanumGothic" w:eastAsia="NanumGothic"/>
          <w:b w:val="0"/>
          <w:sz w:val="22"/>
        </w:rPr>
        <w:t>https://xenlook.com/ai-certification</w:t>
      </w:r>
    </w:p>
    <w:p>
      <w:pPr>
        <w:pStyle w:val="ListBullet"/>
      </w:pPr>
      <w:r>
        <w:rPr>
          <w:rFonts w:ascii="NanumGothic" w:hAnsi="NanumGothic" w:eastAsia="NanumGothic"/>
          <w:b w:val="0"/>
          <w:sz w:val="22"/>
        </w:rPr>
        <w:t>https://xenlook.com/ip-protection</w:t>
      </w:r>
    </w:p>
    <w:p>
      <w:pPr>
        <w:pStyle w:val="ListBullet"/>
      </w:pPr>
      <w:r>
        <w:rPr>
          <w:rFonts w:ascii="NanumGothic" w:hAnsi="NanumGothic" w:eastAsia="NanumGothic"/>
          <w:b w:val="0"/>
          <w:sz w:val="22"/>
        </w:rPr>
        <w:t>본 백서: https://xenlook.com/ai-certification#tech-cert-whitepaper</w:t>
      </w:r>
    </w:p>
    <w:p>
      <w:pPr>
        <w:pStyle w:val="Heading1"/>
      </w:pPr>
      <w:r>
        <w:rPr>
          <w:rFonts w:ascii="NanumGothic" w:hAnsi="NanumGothic" w:eastAsia="NanumGothic"/>
          <w:b/>
          <w:sz w:val="28"/>
        </w:rPr>
        <w:t>부록 B. 용어</w:t>
      </w:r>
    </w:p>
    <w:p>
      <w:pPr>
        <w:pStyle w:val="ListBullet"/>
      </w:pPr>
      <w:r>
        <w:rPr>
          <w:rFonts w:ascii="NanumGothic" w:hAnsi="NanumGothic" w:eastAsia="NanumGothic"/>
          <w:b w:val="0"/>
          <w:sz w:val="22"/>
        </w:rPr>
        <w:t>SOUL / IDENTITY / CHRONICLE — 영혼·정체성·생애사</w:t>
      </w:r>
    </w:p>
    <w:p>
      <w:pPr>
        <w:pStyle w:val="ListBullet"/>
      </w:pPr>
      <w:r>
        <w:rPr>
          <w:rFonts w:ascii="NanumGothic" w:hAnsi="NanumGothic" w:eastAsia="NanumGothic"/>
          <w:b w:val="0"/>
          <w:sz w:val="22"/>
        </w:rPr>
        <w:t>surface — API 경로로 구분되는 서비스 면</w:t>
      </w:r>
    </w:p>
    <w:p>
      <w:pPr>
        <w:pStyle w:val="ListBullet"/>
      </w:pPr>
      <w:r>
        <w:rPr>
          <w:rFonts w:ascii="NanumGothic" w:hAnsi="NanumGothic" w:eastAsia="NanumGothic"/>
          <w:b w:val="0"/>
          <w:sz w:val="22"/>
        </w:rPr>
        <w:t>personaPackHash — 3레인 동일 주입 페르소나 팩 해시</w:t>
      </w:r>
    </w:p>
    <w:p>
      <w:pPr>
        <w:pStyle w:val="ListBullet"/>
      </w:pPr>
      <w:r>
        <w:rPr>
          <w:rFonts w:ascii="NanumGothic" w:hAnsi="NanumGothic" w:eastAsia="NanumGothic"/>
          <w:b w:val="0"/>
          <w:sz w:val="22"/>
        </w:rPr>
        <w:t>C2PA — Content Provenance and Authenticity</w:t>
      </w:r>
    </w:p>
    <w:p>
      <w:pPr>
        <w:pStyle w:val="ListBullet"/>
      </w:pPr>
      <w:r>
        <w:rPr>
          <w:rFonts w:ascii="NanumGothic" w:hAnsi="NanumGothic" w:eastAsia="NanumGothic"/>
          <w:b w:val="0"/>
          <w:sz w:val="22"/>
        </w:rPr>
        <w:t>자가평가 / 등재 / 심사중 / 로드맵 / 보유 아님 — 4.C.1 상태 정의</w:t>
      </w:r>
    </w:p>
    <w:p>
      <w:pPr>
        <w:pStyle w:val="ListBullet"/>
      </w:pPr>
      <w:r>
        <w:rPr>
          <w:rFonts w:ascii="NanumGothic" w:hAnsi="NanumGothic" w:eastAsia="NanumGothic"/>
          <w:b w:val="0"/>
          <w:sz w:val="22"/>
        </w:rPr>
        <w:t>ASB — Agent Standard Brain · 개념만</w:t>
      </w:r>
    </w:p>
    <w:p>
      <w:pPr>
        <w:pStyle w:val="ListBullet"/>
      </w:pPr>
      <w:r>
        <w:rPr>
          <w:rFonts w:ascii="NanumGothic" w:hAnsi="NanumGothic" w:eastAsia="NanumGothic"/>
          <w:b w:val="0"/>
          <w:sz w:val="22"/>
        </w:rPr>
        <w:t>KR→JP CA — C2PA CA 영토</w:t>
      </w:r>
    </w:p>
    <w:p/>
    <w:p>
      <w:pPr>
        <w:spacing w:after="120" w:line="240" w:lineRule="auto"/>
      </w:pPr>
      <w:r>
        <w:rPr>
          <w:rFonts w:ascii="NanumGothic" w:hAnsi="NanumGothic" w:eastAsia="NanumGothic"/>
          <w:b/>
          <w:sz w:val="22"/>
        </w:rPr>
        <w:t>문의: help@xenlook.com · 주식회사 젠룩 · https://xenlook.com</w:t>
      </w:r>
    </w:p>
    <w:p>
      <w:pPr>
        <w:spacing w:after="120" w:line="240" w:lineRule="auto"/>
        <w:jc w:val="center"/>
      </w:pPr>
      <w:r>
        <w:rPr>
          <w:rFonts w:ascii="NanumGothic" w:hAnsi="NanumGothic" w:eastAsia="NanumGothic"/>
          <w:b w:val="0"/>
          <w:color w:val="64748B"/>
          <w:sz w:val="18"/>
        </w:rPr>
        <w:t>© 2026 XenLook Inc. · 기술 백서 · 12개국 합본 · EN→KO→JA→ZH→…</w:t>
      </w:r>
    </w:p>
    <w:p>
      <w:r>
        <w:br w:type="page"/>
      </w:r>
    </w:p>
    <w:p>
      <w:pPr>
        <w:spacing w:after="120" w:line="240" w:lineRule="auto"/>
        <w:jc w:val="center"/>
      </w:pPr>
      <w:r>
        <w:rPr>
          <w:rFonts w:ascii="Noto Sans CJK JP" w:hAnsi="Noto Sans CJK JP" w:eastAsia="Noto Sans CJK JP"/>
          <w:b/>
          <w:color w:val="0EA5E9"/>
          <w:sz w:val="52"/>
        </w:rPr>
        <w:t>XENLOOK</w:t>
      </w:r>
    </w:p>
    <w:p>
      <w:pPr>
        <w:spacing w:after="120" w:line="240" w:lineRule="auto"/>
        <w:jc w:val="center"/>
      </w:pPr>
      <w:r>
        <w:rPr>
          <w:rFonts w:ascii="Noto Sans CJK JP" w:hAnsi="Noto Sans CJK JP" w:eastAsia="Noto Sans CJK JP"/>
          <w:b/>
          <w:sz w:val="36"/>
        </w:rPr>
        <w:t>XENLOOK 技術白書</w:t>
      </w:r>
    </w:p>
    <w:p>
      <w:pPr>
        <w:spacing w:after="120" w:line="240" w:lineRule="auto"/>
        <w:jc w:val="center"/>
      </w:pPr>
      <w:r>
        <w:rPr>
          <w:rFonts w:ascii="Noto Sans CJK JP" w:hAnsi="Noto Sans CJK JP" w:eastAsia="Noto Sans CJK JP"/>
          <w:b w:val="0"/>
          <w:color w:val="64748B"/>
          <w:sz w:val="24"/>
        </w:rPr>
        <w:t>統合版 · コア技術（特許·著作権·信頼ガバナンス）·商標 · ロードマップ · 12言語合本</w:t>
      </w:r>
    </w:p>
    <w:p>
      <w:pPr>
        <w:spacing w:after="120" w:line="240" w:lineRule="auto"/>
        <w:jc w:val="center"/>
      </w:pPr>
      <w:r>
        <w:rPr>
          <w:rFonts w:ascii="Noto Sans CJK JP" w:hAnsi="Noto Sans CJK JP" w:eastAsia="Noto Sans CJK JP"/>
          <w:b w:val="0"/>
          <w:i/>
          <w:sz w:val="20"/>
        </w:rPr>
        <w:t>株式会社ジェンルック（XenLook Inc.）· 2026年8月 · Version 2026-08-07-ALL-r2</w:t>
      </w:r>
    </w:p>
    <w:p>
      <w:pPr>
        <w:spacing w:after="120" w:line="240" w:lineRule="auto"/>
        <w:jc w:val="center"/>
      </w:pPr>
      <w:r>
        <w:rPr>
          <w:rFonts w:ascii="Noto Sans CJK JP" w:hAnsi="Noto Sans CJK JP" w:eastAsia="Noto Sans CJK JP"/>
          <w:b w:val="0"/>
          <w:sz w:val="18"/>
        </w:rPr>
        <w:t>日本語 · ja</w:t>
      </w:r>
    </w:p>
    <w:p/>
    <w:p>
      <w:pPr>
        <w:spacing w:after="120" w:line="240" w:lineRule="auto"/>
      </w:pPr>
      <w:r>
        <w:rPr>
          <w:rFonts w:ascii="Noto Sans CJK JP" w:hAnsi="Noto Sans CJK JP" w:eastAsia="Noto Sans CJK JP"/>
          <w:b w:val="0"/>
          <w:sz w:val="22"/>
        </w:rPr>
        <w:t>本白書のコア技術は三軸である。(1)特許10件—課題·構成·効果。(2)著作権5件—製品·規範の表現物登録。(3)信頼·ガバナンス—安全·来歴·外部枠組みをコア章で詳述。特許·商標は出願済·未登録。請求項全文は公開しない。C2PA Trust List·Generatorは審査中。ASBは概念のみ。</w:t>
      </w:r>
    </w:p>
    <w:p>
      <w:pPr>
        <w:pStyle w:val="Heading1"/>
      </w:pPr>
      <w:r>
        <w:rPr>
          <w:rFonts w:ascii="Noto Sans CJK JP" w:hAnsi="Noto Sans CJK JP" w:eastAsia="Noto Sans CJK JP"/>
          <w:b/>
          <w:sz w:val="28"/>
        </w:rPr>
        <w:t>1. 要約</w:t>
      </w:r>
    </w:p>
    <w:p>
      <w:pPr>
        <w:spacing w:after="120" w:line="240" w:lineRule="auto"/>
      </w:pPr>
      <w:r>
        <w:rPr>
          <w:rFonts w:ascii="Noto Sans CJK JP" w:hAnsi="Noto Sans CJK JP" w:eastAsia="Noto Sans CJK JP"/>
          <w:b w:val="0"/>
          <w:sz w:val="22"/>
        </w:rPr>
        <w:t>XenLookはグローバルAIコンパニオン·創作プラットフォームである。Korea-firstベータとしてパートナー対話·多エージェント·来歴付きメディア·未成年保護を一つの運用系に束ねる。</w:t>
      </w:r>
    </w:p>
    <w:p>
      <w:pPr>
        <w:spacing w:after="120" w:line="240" w:lineRule="auto"/>
      </w:pPr>
      <w:r>
        <w:rPr>
          <w:rFonts w:ascii="Noto Sans CJK JP" w:hAnsi="Noto Sans CJK JP" w:eastAsia="Noto Sans CJK JP"/>
          <w:b w:val="0"/>
          <w:sz w:val="22"/>
        </w:rPr>
        <w:t>コア技術をパイプライン標語で代替しない。発明（特許）·表現（著作権）·運用信頼（ガバナンス）が本文である。</w:t>
      </w:r>
    </w:p>
    <w:p>
      <w:pPr>
        <w:pStyle w:val="ListBullet"/>
      </w:pPr>
      <w:r>
        <w:rPr>
          <w:rFonts w:ascii="Noto Sans CJK JP" w:hAnsi="Noto Sans CJK JP" w:eastAsia="Noto Sans CJK JP"/>
          <w:b w:val="0"/>
          <w:sz w:val="22"/>
        </w:rPr>
        <w:t>コアA — 特許10件（KIPO出願済 · 審査請求前 · 未登録）</w:t>
      </w:r>
    </w:p>
    <w:p>
      <w:pPr>
        <w:pStyle w:val="ListBullet"/>
      </w:pPr>
      <w:r>
        <w:rPr>
          <w:rFonts w:ascii="Noto Sans CJK JP" w:hAnsi="Noto Sans CJK JP" w:eastAsia="Noto Sans CJK JP"/>
          <w:b w:val="0"/>
          <w:sz w:val="22"/>
        </w:rPr>
        <w:t>コアB — 著作権5件（韓国著作権委員会 · 登録証確認）</w:t>
      </w:r>
    </w:p>
    <w:p>
      <w:pPr>
        <w:pStyle w:val="ListBullet"/>
      </w:pPr>
      <w:r>
        <w:rPr>
          <w:rFonts w:ascii="Noto Sans CJK JP" w:hAnsi="Noto Sans CJK JP" w:eastAsia="Noto Sans CJK JP"/>
          <w:b w:val="0"/>
          <w:sz w:val="22"/>
        </w:rPr>
        <w:t>コアC — 信頼·ガバナンス（状態定義 · 枠組み詳細 · コア章内）</w:t>
      </w:r>
    </w:p>
    <w:p>
      <w:pPr>
        <w:pStyle w:val="ListBullet"/>
      </w:pPr>
      <w:r>
        <w:rPr>
          <w:rFonts w:ascii="Noto Sans CJK JP" w:hAnsi="Noto Sans CJK JP" w:eastAsia="Noto Sans CJK JP"/>
          <w:b w:val="0"/>
          <w:sz w:val="22"/>
        </w:rPr>
        <w:t>商標 — XENLOOK ワードマーク出願 40-2026-0119385（出願済·未登録）</w:t>
      </w:r>
    </w:p>
    <w:p>
      <w:pPr>
        <w:pStyle w:val="ListBullet"/>
      </w:pPr>
      <w:r>
        <w:rPr>
          <w:rFonts w:ascii="Noto Sans CJK JP" w:hAnsi="Noto Sans CJK JP" w:eastAsia="Noto Sans CJK JP"/>
          <w:b w:val="0"/>
          <w:sz w:val="22"/>
        </w:rPr>
        <w:t>C2PA CA領域: 韓国→日本（KR→JP）。グローバルCA主張なし。</w:t>
      </w:r>
    </w:p>
    <w:p>
      <w:pPr>
        <w:pStyle w:val="Heading1"/>
      </w:pPr>
      <w:r>
        <w:rPr>
          <w:rFonts w:ascii="Noto Sans CJK JP" w:hAnsi="Noto Sans CJK JP" w:eastAsia="Noto Sans CJK JP"/>
          <w:b/>
          <w:sz w:val="28"/>
        </w:rPr>
        <w:t>2. 序論 — 何を作るか</w:t>
      </w:r>
    </w:p>
    <w:p>
      <w:pPr>
        <w:spacing w:after="120" w:line="240" w:lineRule="auto"/>
      </w:pPr>
      <w:r>
        <w:rPr>
          <w:rFonts w:ascii="Noto Sans CJK JP" w:hAnsi="Noto Sans CJK JP" w:eastAsia="Noto Sans CJK JP"/>
          <w:b w:val="0"/>
          <w:sz w:val="22"/>
        </w:rPr>
        <w:t>生成AIの競争軸は返答品質だけではない。ペルソナ維持·ターン単位の安全·コスト追跡·来歴·未成年政策·外部信頼枠組みの誠実な開示が技術本体である。</w:t>
      </w:r>
    </w:p>
    <w:p>
      <w:pPr>
        <w:spacing w:after="120" w:line="240" w:lineRule="auto"/>
      </w:pPr>
      <w:r>
        <w:rPr>
          <w:rFonts w:ascii="Noto Sans CJK JP" w:hAnsi="Noto Sans CJK JP" w:eastAsia="Noto Sans CJK JP"/>
          <w:b w:val="0"/>
          <w:sz w:val="22"/>
        </w:rPr>
        <w:t>XenLookはその本体を特許で保護し、製品·憲法表現を著作権登録し、信頼運用をコア技術章で詳述する。</w:t>
      </w:r>
    </w:p>
    <w:p>
      <w:pPr>
        <w:pStyle w:val="Heading1"/>
      </w:pPr>
      <w:r>
        <w:rPr>
          <w:rFonts w:ascii="Noto Sans CJK JP" w:hAnsi="Noto Sans CJK JP" w:eastAsia="Noto Sans CJK JP"/>
          <w:b/>
          <w:sz w:val="28"/>
        </w:rPr>
        <w:t>3. 問題定義</w:t>
      </w:r>
    </w:p>
    <w:p>
      <w:pPr>
        <w:spacing w:after="120" w:line="240" w:lineRule="auto"/>
      </w:pPr>
      <w:r>
        <w:rPr>
          <w:rFonts w:ascii="Noto Sans CJK JP" w:hAnsi="Noto Sans CJK JP" w:eastAsia="Noto Sans CJK JP"/>
          <w:b w:val="0"/>
          <w:sz w:val="22"/>
        </w:rPr>
        <w:t>公開サービスで繰り返される失敗モードと三軸の対応は次のとおり。</w:t>
      </w:r>
    </w:p>
    <w:p>
      <w:pPr>
        <w:pStyle w:val="ListBullet"/>
      </w:pPr>
      <w:r>
        <w:rPr>
          <w:rFonts w:ascii="Noto Sans CJK JP" w:hAnsi="Noto Sans CJK JP" w:eastAsia="Noto Sans CJK JP"/>
          <w:b w:val="0"/>
          <w:sz w:val="22"/>
        </w:rPr>
        <w:t>発話行為·多意図の崩壊 → 特許04</w:t>
      </w:r>
    </w:p>
    <w:p>
      <w:pPr>
        <w:pStyle w:val="ListBullet"/>
      </w:pPr>
      <w:r>
        <w:rPr>
          <w:rFonts w:ascii="Noto Sans CJK JP" w:hAnsi="Noto Sans CJK JP" w:eastAsia="Noto Sans CJK JP"/>
          <w:b w:val="0"/>
          <w:sz w:val="22"/>
        </w:rPr>
        <w:t>アイデンティティ希釈·文脈崩壊 → 特許05 · 著作権（On·憲法）</w:t>
      </w:r>
    </w:p>
    <w:p>
      <w:pPr>
        <w:pStyle w:val="ListBullet"/>
      </w:pPr>
      <w:r>
        <w:rPr>
          <w:rFonts w:ascii="Noto Sans CJK JP" w:hAnsi="Noto Sans CJK JP" w:eastAsia="Noto Sans CJK JP"/>
          <w:b w:val="0"/>
          <w:sz w:val="22"/>
        </w:rPr>
        <w:t>エージェント生涯管理の空白 → 特許06</w:t>
      </w:r>
    </w:p>
    <w:p>
      <w:pPr>
        <w:pStyle w:val="ListBullet"/>
      </w:pPr>
      <w:r>
        <w:rPr>
          <w:rFonts w:ascii="Noto Sans CJK JP" w:hAnsi="Noto Sans CJK JP" w:eastAsia="Noto Sans CJK JP"/>
          <w:b w:val="0"/>
          <w:sz w:val="22"/>
        </w:rPr>
        <w:t>メディアレーン不一致·来歴欠落 → 特許07·08 · 著作権（C2PAポータル）</w:t>
      </w:r>
    </w:p>
    <w:p>
      <w:pPr>
        <w:pStyle w:val="ListBullet"/>
      </w:pPr>
      <w:r>
        <w:rPr>
          <w:rFonts w:ascii="Noto Sans CJK JP" w:hAnsi="Noto Sans CJK JP" w:eastAsia="Noto Sans CJK JP"/>
          <w:b w:val="0"/>
          <w:sz w:val="22"/>
        </w:rPr>
        <w:t>全エンジン呼出·事後安全·監査断絶 → 特許01·09</w:t>
      </w:r>
    </w:p>
    <w:p>
      <w:pPr>
        <w:pStyle w:val="ListBullet"/>
      </w:pPr>
      <w:r>
        <w:rPr>
          <w:rFonts w:ascii="Noto Sans CJK JP" w:hAnsi="Noto Sans CJK JP" w:eastAsia="Noto Sans CJK JP"/>
          <w:b w:val="0"/>
          <w:sz w:val="22"/>
        </w:rPr>
        <w:t>未成年surface漏えい → 特許10</w:t>
      </w:r>
    </w:p>
    <w:p>
      <w:pPr>
        <w:pStyle w:val="ListBullet"/>
      </w:pPr>
      <w:r>
        <w:rPr>
          <w:rFonts w:ascii="Noto Sans CJK JP" w:hAnsi="Noto Sans CJK JP" w:eastAsia="Noto Sans CJK JP"/>
          <w:b w:val="0"/>
          <w:sz w:val="22"/>
        </w:rPr>
        <w:t>キャンパス·スタジオ追跡空白 → 特許02·03</w:t>
      </w:r>
    </w:p>
    <w:p>
      <w:pPr>
        <w:pStyle w:val="ListBullet"/>
      </w:pPr>
      <w:r>
        <w:rPr>
          <w:rFonts w:ascii="Noto Sans CJK JP" w:hAnsi="Noto Sans CJK JP" w:eastAsia="Noto Sans CJK JP"/>
          <w:b w:val="0"/>
          <w:sz w:val="22"/>
        </w:rPr>
        <w:t>過大な認証表示·状態混同 → コアCの状態定義·詳細表</w:t>
      </w:r>
    </w:p>
    <w:p>
      <w:pPr>
        <w:pStyle w:val="Heading1"/>
      </w:pPr>
      <w:r>
        <w:rPr>
          <w:rFonts w:ascii="Noto Sans CJK JP" w:hAnsi="Noto Sans CJK JP" w:eastAsia="Noto Sans CJK JP"/>
          <w:b/>
          <w:sz w:val="28"/>
        </w:rPr>
        <w:t>4. コア技術</w:t>
      </w:r>
    </w:p>
    <w:p>
      <w:pPr>
        <w:spacing w:after="120" w:line="240" w:lineRule="auto"/>
      </w:pPr>
      <w:r>
        <w:rPr>
          <w:rFonts w:ascii="Noto Sans CJK JP" w:hAnsi="Noto Sans CJK JP" w:eastAsia="Noto Sans CJK JP"/>
          <w:b w:val="0"/>
          <w:sz w:val="22"/>
        </w:rPr>
        <w:t>コア技術は特許(A)·著作権(B)·信頼ガバナンス(C)で代替する。アーキテクチャ標語だけで本章を埋めない。</w:t>
      </w:r>
    </w:p>
    <w:p>
      <w:pPr>
        <w:pStyle w:val="Heading1"/>
      </w:pPr>
      <w:r>
        <w:rPr>
          <w:rFonts w:ascii="Noto Sans CJK JP" w:hAnsi="Noto Sans CJK JP" w:eastAsia="Noto Sans CJK JP"/>
          <w:b/>
          <w:sz w:val="28"/>
        </w:rPr>
        <w:t>4.A 特許 — 方法·システム発明10件</w:t>
      </w:r>
    </w:p>
    <w:p>
      <w:pPr>
        <w:spacing w:after="120" w:line="240" w:lineRule="auto"/>
      </w:pPr>
      <w:r>
        <w:rPr>
          <w:rFonts w:ascii="Noto Sans CJK JP" w:hAnsi="Noto Sans CJK JP" w:eastAsia="Noto Sans CJK JP"/>
          <w:b w:val="0"/>
          <w:sz w:val="22"/>
        </w:rPr>
        <w:t>状態: 国内出願済 · 審査請求前 · 未登録。出願人: 株式会社ジェンルック。以下は各明細書の分野·課題·構成·効果を白書用に再構成したものであり、請求項全文を代替しない。</w:t>
      </w:r>
    </w:p>
    <w:p>
      <w:pPr>
        <w:pStyle w:val="Heading1"/>
      </w:pPr>
      <w:r>
        <w:rPr>
          <w:rFonts w:ascii="Noto Sans CJK JP" w:hAnsi="Noto Sans CJK JP" w:eastAsia="Noto Sans CJK JP"/>
          <w:b/>
          <w:sz w:val="28"/>
        </w:rPr>
        <w:t>4.A.1 第1号 — 外部AIリクエスト多段階検証·公開監査システム</w:t>
      </w:r>
    </w:p>
    <w:p>
      <w:pPr>
        <w:spacing w:after="120" w:line="240" w:lineRule="auto"/>
      </w:pPr>
      <w:r>
        <w:rPr>
          <w:rFonts w:ascii="Noto Sans CJK JP" w:hAnsi="Noto Sans CJK JP" w:eastAsia="Noto Sans CJK JP"/>
          <w:b w:val="0"/>
          <w:sz w:val="22"/>
        </w:rPr>
        <w:t>出願番号 10-2026-0100026.</w:t>
      </w:r>
    </w:p>
    <w:p>
      <w:pPr>
        <w:spacing w:after="120" w:line="240" w:lineRule="auto"/>
      </w:pPr>
      <w:r>
        <w:rPr>
          <w:rFonts w:ascii="Noto Sans CJK JP" w:hAnsi="Noto Sans CJK JP" w:eastAsia="Noto Sans CJK JP"/>
          <w:b w:val="0"/>
          <w:sz w:val="22"/>
        </w:rPr>
        <w:t>技術分野: 外部AIリクエスト、マルチエンジンオーケストレーション、運用検証、公開可能な監査状態。</w:t>
      </w:r>
    </w:p>
    <w:p>
      <w:pPr>
        <w:spacing w:after="120" w:line="240" w:lineRule="auto"/>
      </w:pPr>
      <w:r>
        <w:rPr>
          <w:rFonts w:ascii="Noto Sans CJK JP" w:hAnsi="Noto Sans CJK JP" w:eastAsia="Noto Sans CJK JP"/>
          <w:b w:val="0"/>
          <w:sz w:val="22"/>
        </w:rPr>
        <w:t>課題: If create/chat/create/deploy paths lack state transitions and audit records, policy breaches and missing evidence follow.</w:t>
      </w:r>
    </w:p>
    <w:p>
      <w:pPr>
        <w:spacing w:after="120" w:line="240" w:lineRule="auto"/>
      </w:pPr>
      <w:r>
        <w:rPr>
          <w:rFonts w:ascii="Noto Sans CJK JP" w:hAnsi="Noto Sans CJK JP" w:eastAsia="Noto Sans CJK JP"/>
          <w:b w:val="0"/>
          <w:sz w:val="22"/>
        </w:rPr>
        <w:t>構成: Input · state collection · orchestration · engine execution · policy gate · audit · publish/deploy. Axes: Gate Filter · Priority Queue · Integrity Check · Curation · Public Display · Audit Log · Safety Score.</w:t>
      </w:r>
    </w:p>
    <w:p>
      <w:pPr>
        <w:spacing w:after="120" w:line="240" w:lineRule="auto"/>
      </w:pPr>
      <w:r>
        <w:rPr>
          <w:rFonts w:ascii="Noto Sans CJK JP" w:hAnsi="Noto Sans CJK JP" w:eastAsia="Noto Sans CJK JP"/>
          <w:b w:val="0"/>
          <w:sz w:val="22"/>
        </w:rPr>
        <w:t>効果: Structures stability, explainability, cost control, pre-publish review, and provenance versus a single LLM call.</w:t>
      </w:r>
    </w:p>
    <w:p>
      <w:pPr>
        <w:pStyle w:val="Heading1"/>
      </w:pPr>
      <w:r>
        <w:rPr>
          <w:rFonts w:ascii="Noto Sans CJK JP" w:hAnsi="Noto Sans CJK JP" w:eastAsia="Noto Sans CJK JP"/>
          <w:b/>
          <w:sz w:val="28"/>
        </w:rPr>
        <w:t>4.A.2 第2号 — AIエージェントキャンパス学習·課題·討論システム</w:t>
      </w:r>
    </w:p>
    <w:p>
      <w:pPr>
        <w:spacing w:after="120" w:line="240" w:lineRule="auto"/>
      </w:pPr>
      <w:r>
        <w:rPr>
          <w:rFonts w:ascii="Noto Sans CJK JP" w:hAnsi="Noto Sans CJK JP" w:eastAsia="Noto Sans CJK JP"/>
          <w:b w:val="0"/>
          <w:sz w:val="22"/>
        </w:rPr>
        <w:t>出願番号 10-2026-0100053.</w:t>
      </w:r>
    </w:p>
    <w:p>
      <w:pPr>
        <w:spacing w:after="120" w:line="240" w:lineRule="auto"/>
      </w:pPr>
      <w:r>
        <w:rPr>
          <w:rFonts w:ascii="Noto Sans CJK JP" w:hAnsi="Noto Sans CJK JP" w:eastAsia="Noto Sans CJK JP"/>
          <w:b w:val="0"/>
          <w:sz w:val="22"/>
        </w:rPr>
        <w:t>課題: Learning/assignments/debate scatter into one-off prompts and lose growth tracking, public quality, and audit linkage.</w:t>
      </w:r>
    </w:p>
    <w:p>
      <w:pPr>
        <w:spacing w:after="120" w:line="240" w:lineRule="auto"/>
      </w:pPr>
      <w:r>
        <w:rPr>
          <w:rFonts w:ascii="Noto Sans CJK JP" w:hAnsi="Noto Sans CJK JP" w:eastAsia="Noto Sans CJK JP"/>
          <w:b w:val="0"/>
          <w:sz w:val="22"/>
        </w:rPr>
        <w:t>構成: Topic Intake → Agent Assignment → Task Run → Debate → Score → Growth → Atelier link.</w:t>
      </w:r>
    </w:p>
    <w:p>
      <w:pPr>
        <w:spacing w:after="120" w:line="240" w:lineRule="auto"/>
      </w:pPr>
      <w:r>
        <w:rPr>
          <w:rFonts w:ascii="Noto Sans CJK JP" w:hAnsi="Noto Sans CJK JP" w:eastAsia="Noto Sans CJK JP"/>
          <w:b w:val="0"/>
          <w:sz w:val="22"/>
        </w:rPr>
        <w:t>効果: Keeps learning/debate/growth as reproducible units tied to pre-publish review.</w:t>
      </w:r>
    </w:p>
    <w:p>
      <w:pPr>
        <w:pStyle w:val="Heading1"/>
      </w:pPr>
      <w:r>
        <w:rPr>
          <w:rFonts w:ascii="Noto Sans CJK JP" w:hAnsi="Noto Sans CJK JP" w:eastAsia="Noto Sans CJK JP"/>
          <w:b/>
          <w:sz w:val="28"/>
        </w:rPr>
        <w:t>4.A.3 第3号 — AIマルチクリエイター創作スタジオシステム</w:t>
      </w:r>
    </w:p>
    <w:p>
      <w:pPr>
        <w:spacing w:after="120" w:line="240" w:lineRule="auto"/>
      </w:pPr>
      <w:r>
        <w:rPr>
          <w:rFonts w:ascii="Noto Sans CJK JP" w:hAnsi="Noto Sans CJK JP" w:eastAsia="Noto Sans CJK JP"/>
          <w:b w:val="0"/>
          <w:sz w:val="22"/>
        </w:rPr>
        <w:t>出願番号 10-2026-0100113.</w:t>
      </w:r>
    </w:p>
    <w:p>
      <w:pPr>
        <w:spacing w:after="120" w:line="240" w:lineRule="auto"/>
      </w:pPr>
      <w:r>
        <w:rPr>
          <w:rFonts w:ascii="Noto Sans CJK JP" w:hAnsi="Noto Sans CJK JP" w:eastAsia="Noto Sans CJK JP"/>
          <w:b w:val="0"/>
          <w:sz w:val="22"/>
        </w:rPr>
        <w:t>課題: Collaborative creation separated from engines/review/exhibition collapses canon and provenance.</w:t>
      </w:r>
    </w:p>
    <w:p>
      <w:pPr>
        <w:spacing w:after="120" w:line="240" w:lineRule="auto"/>
      </w:pPr>
      <w:r>
        <w:rPr>
          <w:rFonts w:ascii="Noto Sans CJK JP" w:hAnsi="Noto Sans CJK JP" w:eastAsia="Noto Sans CJK JP"/>
          <w:b w:val="0"/>
          <w:sz w:val="22"/>
        </w:rPr>
        <w:t>構成: Project Intake → Team Formation → LIFE Pipeline → Canon Check → Exhibition → Review.</w:t>
      </w:r>
    </w:p>
    <w:p>
      <w:pPr>
        <w:spacing w:after="120" w:line="240" w:lineRule="auto"/>
      </w:pPr>
      <w:r>
        <w:rPr>
          <w:rFonts w:ascii="Noto Sans CJK JP" w:hAnsi="Noto Sans CJK JP" w:eastAsia="Noto Sans CJK JP"/>
          <w:b w:val="0"/>
          <w:sz w:val="22"/>
        </w:rPr>
        <w:t>効果: Operates collaboration, review, and exhibition as traceable state.</w:t>
      </w:r>
    </w:p>
    <w:p>
      <w:pPr>
        <w:pStyle w:val="Heading1"/>
      </w:pPr>
      <w:r>
        <w:rPr>
          <w:rFonts w:ascii="Noto Sans CJK JP" w:hAnsi="Noto Sans CJK JP" w:eastAsia="Noto Sans CJK JP"/>
          <w:b/>
          <w:sz w:val="28"/>
        </w:rPr>
        <w:t>4.A.4 第4号 — 発話行為信号に基づく多意図認識および文脈適応型対話処理</w:t>
      </w:r>
    </w:p>
    <w:p>
      <w:pPr>
        <w:spacing w:after="120" w:line="240" w:lineRule="auto"/>
      </w:pPr>
      <w:r>
        <w:rPr>
          <w:rFonts w:ascii="Noto Sans CJK JP" w:hAnsi="Noto Sans CJK JP" w:eastAsia="Noto Sans CJK JP"/>
          <w:b w:val="0"/>
          <w:sz w:val="22"/>
        </w:rPr>
        <w:t>出願番号 10-2026-0117901.</w:t>
      </w:r>
    </w:p>
    <w:p>
      <w:pPr>
        <w:spacing w:after="120" w:line="240" w:lineRule="auto"/>
      </w:pPr>
      <w:r>
        <w:rPr>
          <w:rFonts w:ascii="Noto Sans CJK JP" w:hAnsi="Noto Sans CJK JP" w:eastAsia="Noto Sans CJK JP"/>
          <w:b w:val="0"/>
          <w:sz w:val="22"/>
        </w:rPr>
        <w:t>課題: Single-label intent loses stacked intents; ignoring speech acts drives over-empathy.</w:t>
      </w:r>
    </w:p>
    <w:p>
      <w:pPr>
        <w:spacing w:after="120" w:line="240" w:lineRule="auto"/>
      </w:pPr>
      <w:r>
        <w:rPr>
          <w:rFonts w:ascii="Noto Sans CJK JP" w:hAnsi="Noto Sans CJK JP" w:eastAsia="Noto Sans CJK JP"/>
          <w:b w:val="0"/>
          <w:sz w:val="22"/>
        </w:rPr>
        <w:t>構成: Intent vector P · speech-act vector S · NunchiContext · prompt injection · margin-M branching · EMA accumulation.</w:t>
      </w:r>
    </w:p>
    <w:p>
      <w:pPr>
        <w:spacing w:after="120" w:line="240" w:lineRule="auto"/>
      </w:pPr>
      <w:r>
        <w:rPr>
          <w:rFonts w:ascii="Noto Sans CJK JP" w:hAnsi="Noto Sans CJK JP" w:eastAsia="Noto Sans CJK JP"/>
          <w:b w:val="0"/>
          <w:sz w:val="22"/>
        </w:rPr>
        <w:t>効果: Preserves multi-intent, strengthens indirect-emotion capture, clarifies under uncertainty, tracks intent drift.</w:t>
      </w:r>
    </w:p>
    <w:p>
      <w:pPr>
        <w:pStyle w:val="Heading1"/>
      </w:pPr>
      <w:r>
        <w:rPr>
          <w:rFonts w:ascii="Noto Sans CJK JP" w:hAnsi="Noto Sans CJK JP" w:eastAsia="Noto Sans CJK JP"/>
          <w:b/>
          <w:sz w:val="28"/>
        </w:rPr>
        <w:t>4.A.5 第5号 — 複数ソース文脈収集·組立·注入</w:t>
      </w:r>
    </w:p>
    <w:p>
      <w:pPr>
        <w:spacing w:after="120" w:line="240" w:lineRule="auto"/>
      </w:pPr>
      <w:r>
        <w:rPr>
          <w:rFonts w:ascii="Noto Sans CJK JP" w:hAnsi="Noto Sans CJK JP" w:eastAsia="Noto Sans CJK JP"/>
          <w:b w:val="0"/>
          <w:sz w:val="22"/>
        </w:rPr>
        <w:t>出願番号 10-2026-0117903.</w:t>
      </w:r>
    </w:p>
    <w:p>
      <w:pPr>
        <w:spacing w:after="120" w:line="240" w:lineRule="auto"/>
      </w:pPr>
      <w:r>
        <w:rPr>
          <w:rFonts w:ascii="Noto Sans CJK JP" w:hAnsi="Noto Sans CJK JP" w:eastAsia="Noto Sans CJK JP"/>
          <w:b w:val="0"/>
          <w:sz w:val="22"/>
        </w:rPr>
        <w:t>課題: Short-term chat overwrites SOUL/IDENTITY/chronicle; each app scope needs a different context pack.</w:t>
      </w:r>
    </w:p>
    <w:p>
      <w:pPr>
        <w:spacing w:after="120" w:line="240" w:lineRule="auto"/>
      </w:pPr>
      <w:r>
        <w:rPr>
          <w:rFonts w:ascii="Noto Sans CJK JP" w:hAnsi="Noto Sans CJK JP" w:eastAsia="Noto Sans CJK JP"/>
          <w:b w:val="0"/>
          <w:sz w:val="22"/>
        </w:rPr>
        <w:t>構成: Parallel multi-source collect → token budget → app-scope branch → prompt-pack inject → PII-free fingerprint.</w:t>
      </w:r>
    </w:p>
    <w:p>
      <w:pPr>
        <w:spacing w:after="120" w:line="240" w:lineRule="auto"/>
      </w:pPr>
      <w:r>
        <w:rPr>
          <w:rFonts w:ascii="Noto Sans CJK JP" w:hAnsi="Noto Sans CJK JP" w:eastAsia="Noto Sans CJK JP"/>
          <w:b w:val="0"/>
          <w:sz w:val="22"/>
        </w:rPr>
        <w:t>効果: Identity retention, per-scope budgets, quality analysis with non-storing PII fingerprints.</w:t>
      </w:r>
    </w:p>
    <w:p>
      <w:pPr>
        <w:pStyle w:val="Heading1"/>
      </w:pPr>
      <w:r>
        <w:rPr>
          <w:rFonts w:ascii="Noto Sans CJK JP" w:hAnsi="Noto Sans CJK JP" w:eastAsia="Noto Sans CJK JP"/>
          <w:b/>
          <w:sz w:val="28"/>
        </w:rPr>
        <w:t>4.A.6 第6号 — エージェントライフサイクルガバナンス</w:t>
      </w:r>
    </w:p>
    <w:p>
      <w:pPr>
        <w:spacing w:after="120" w:line="240" w:lineRule="auto"/>
      </w:pPr>
      <w:r>
        <w:rPr>
          <w:rFonts w:ascii="Noto Sans CJK JP" w:hAnsi="Noto Sans CJK JP" w:eastAsia="Noto Sans CJK JP"/>
          <w:b w:val="0"/>
          <w:sz w:val="22"/>
        </w:rPr>
        <w:t>出願番号 10-2026-0117904.</w:t>
      </w:r>
    </w:p>
    <w:p>
      <w:pPr>
        <w:spacing w:after="120" w:line="240" w:lineRule="auto"/>
      </w:pPr>
      <w:r>
        <w:rPr>
          <w:rFonts w:ascii="Noto Sans CJK JP" w:hAnsi="Noto Sans CJK JP" w:eastAsia="Noto Sans CJK JP"/>
          <w:b w:val="0"/>
          <w:sz w:val="22"/>
        </w:rPr>
        <w:t>課題: Delete-versus-unlimited-publish binaries destroy IP/relationships or leave unsafe agents live.</w:t>
      </w:r>
    </w:p>
    <w:p>
      <w:pPr>
        <w:spacing w:after="120" w:line="240" w:lineRule="auto"/>
      </w:pPr>
      <w:r>
        <w:rPr>
          <w:rFonts w:ascii="Noto Sans CJK JP" w:hAnsi="Noto Sans CJK JP" w:eastAsia="Noto Sans CJK JP"/>
          <w:b w:val="0"/>
          <w:sz w:val="22"/>
        </w:rPr>
        <w:t>構成: birth·growth·maturity·decline·extinction · scores/violations · gates · hold/recover · header propagation.</w:t>
      </w:r>
    </w:p>
    <w:p>
      <w:pPr>
        <w:spacing w:after="120" w:line="240" w:lineRule="auto"/>
      </w:pPr>
      <w:r>
        <w:rPr>
          <w:rFonts w:ascii="Noto Sans CJK JP" w:hAnsi="Noto Sans CJK JP" w:eastAsia="Noto Sans CJK JP"/>
          <w:b w:val="0"/>
          <w:sz w:val="22"/>
        </w:rPr>
        <w:t>効果: Isolate risk while preserving IP/relationships; Chronicle promotion via growth and public-quality gates.</w:t>
      </w:r>
    </w:p>
    <w:p>
      <w:pPr>
        <w:pStyle w:val="Heading1"/>
      </w:pPr>
      <w:r>
        <w:rPr>
          <w:rFonts w:ascii="Noto Sans CJK JP" w:hAnsi="Noto Sans CJK JP" w:eastAsia="Noto Sans CJK JP"/>
          <w:b/>
          <w:sz w:val="28"/>
        </w:rPr>
        <w:t>4.A.7 第7号 — ARウェアラブルAIエージェント行為の階層的コンテンツ来歴認証</w:t>
      </w:r>
    </w:p>
    <w:p>
      <w:pPr>
        <w:spacing w:after="120" w:line="240" w:lineRule="auto"/>
      </w:pPr>
      <w:r>
        <w:rPr>
          <w:rFonts w:ascii="Noto Sans CJK JP" w:hAnsi="Noto Sans CJK JP" w:eastAsia="Noto Sans CJK JP"/>
          <w:b w:val="0"/>
          <w:sz w:val="22"/>
        </w:rPr>
        <w:t>出願番号 10-2026-0121013.</w:t>
      </w:r>
    </w:p>
    <w:p>
      <w:pPr>
        <w:spacing w:after="120" w:line="240" w:lineRule="auto"/>
      </w:pPr>
      <w:r>
        <w:rPr>
          <w:rFonts w:ascii="Noto Sans CJK JP" w:hAnsi="Noto Sans CJK JP" w:eastAsia="Noto Sans CJK JP"/>
          <w:b w:val="0"/>
          <w:sz w:val="22"/>
        </w:rPr>
        <w:t>課題: A single capture-time signature does not separate inference (M2) and display (M3) provenance.</w:t>
      </w:r>
    </w:p>
    <w:p>
      <w:pPr>
        <w:spacing w:after="120" w:line="240" w:lineRule="auto"/>
      </w:pPr>
      <w:r>
        <w:rPr>
          <w:rFonts w:ascii="Noto Sans CJK JP" w:hAnsi="Noto Sans CJK JP" w:eastAsia="Noto Sans CJK JP"/>
          <w:b w:val="0"/>
          <w:sz w:val="22"/>
        </w:rPr>
        <w:t>構成: M1 capture → M2 agent action (c2pa.ingredient.v3→M1) → M3 overlay (→M1·M2) · COSE_Sign1·X.509·hash offline verify.</w:t>
      </w:r>
    </w:p>
    <w:p>
      <w:pPr>
        <w:spacing w:after="120" w:line="240" w:lineRule="auto"/>
      </w:pPr>
      <w:r>
        <w:rPr>
          <w:rFonts w:ascii="Noto Sans CJK JP" w:hAnsi="Noto Sans CJK JP" w:eastAsia="Noto Sans CJK JP"/>
          <w:b w:val="0"/>
          <w:sz w:val="22"/>
        </w:rPr>
        <w:t>効果: Offline verify, per-stage tamper detection, multi-agent trust chain, capture–composite loop.</w:t>
      </w:r>
    </w:p>
    <w:p>
      <w:pPr>
        <w:pStyle w:val="Heading1"/>
      </w:pPr>
      <w:r>
        <w:rPr>
          <w:rFonts w:ascii="Noto Sans CJK JP" w:hAnsi="Noto Sans CJK JP" w:eastAsia="Noto Sans CJK JP"/>
          <w:b/>
          <w:sz w:val="28"/>
        </w:rPr>
        <w:t>4.A.8 第8号 — SOUL·IDENTITYベース3レーンペルソナメディア生成·来歴記録</w:t>
      </w:r>
    </w:p>
    <w:p>
      <w:pPr>
        <w:spacing w:after="120" w:line="240" w:lineRule="auto"/>
      </w:pPr>
      <w:r>
        <w:rPr>
          <w:rFonts w:ascii="Noto Sans CJK JP" w:hAnsi="Noto Sans CJK JP" w:eastAsia="Noto Sans CJK JP"/>
          <w:b w:val="0"/>
          <w:sz w:val="22"/>
        </w:rPr>
        <w:t>出願番号 10-2026-0121018.</w:t>
      </w:r>
    </w:p>
    <w:p>
      <w:pPr>
        <w:spacing w:after="120" w:line="240" w:lineRule="auto"/>
      </w:pPr>
      <w:r>
        <w:rPr>
          <w:rFonts w:ascii="Noto Sans CJK JP" w:hAnsi="Noto Sans CJK JP" w:eastAsia="Noto Sans CJK JP"/>
          <w:b w:val="0"/>
          <w:sz w:val="22"/>
        </w:rPr>
        <w:t>課題: Without persona pre-load, identity collapses across lanes; signing unverified outputs contaminates provenance.</w:t>
      </w:r>
    </w:p>
    <w:p>
      <w:pPr>
        <w:spacing w:after="120" w:line="240" w:lineRule="auto"/>
      </w:pPr>
      <w:r>
        <w:rPr>
          <w:rFonts w:ascii="Noto Sans CJK JP" w:hAnsi="Noto Sans CJK JP" w:eastAsia="Noto Sans CJK JP"/>
          <w:b w:val="0"/>
          <w:sz w:val="22"/>
        </w:rPr>
        <w:t>構成: Persona loader → lane router (same personaPackHash) → fidelity review (pass/requeue/block) → C2PA v2.4 only on pass.</w:t>
      </w:r>
    </w:p>
    <w:p>
      <w:pPr>
        <w:spacing w:after="120" w:line="240" w:lineRule="auto"/>
      </w:pPr>
      <w:r>
        <w:rPr>
          <w:rFonts w:ascii="Noto Sans CJK JP" w:hAnsi="Noto Sans CJK JP" w:eastAsia="Noto Sans CJK JP"/>
          <w:b w:val="0"/>
          <w:sz w:val="22"/>
        </w:rPr>
        <w:t>効果: Cross-lane identity, automatic requeue, provenance only on passed outputs.</w:t>
      </w:r>
    </w:p>
    <w:p>
      <w:pPr>
        <w:pStyle w:val="Heading1"/>
      </w:pPr>
      <w:r>
        <w:rPr>
          <w:rFonts w:ascii="Noto Sans CJK JP" w:hAnsi="Noto Sans CJK JP" w:eastAsia="Noto Sans CJK JP"/>
          <w:b/>
          <w:sz w:val="28"/>
        </w:rPr>
        <w:t>4.A.9 第9号 — 1:1対話ターンエンジン登録簿段階ゲート·未呼出候補追跡·事前安全遮断</w:t>
      </w:r>
    </w:p>
    <w:p>
      <w:pPr>
        <w:spacing w:after="120" w:line="240" w:lineRule="auto"/>
      </w:pPr>
      <w:r>
        <w:rPr>
          <w:rFonts w:ascii="Noto Sans CJK JP" w:hAnsi="Noto Sans CJK JP" w:eastAsia="Noto Sans CJK JP"/>
          <w:b w:val="0"/>
          <w:sz w:val="22"/>
        </w:rPr>
        <w:t>出願番号 10-2026-0123982.</w:t>
      </w:r>
    </w:p>
    <w:p>
      <w:pPr>
        <w:spacing w:after="120" w:line="240" w:lineRule="auto"/>
      </w:pPr>
      <w:r>
        <w:rPr>
          <w:rFonts w:ascii="Noto Sans CJK JP" w:hAnsi="Noto Sans CJK JP" w:eastAsia="Noto Sans CJK JP"/>
          <w:b w:val="0"/>
          <w:sz w:val="22"/>
        </w:rPr>
        <w:t>課題: All-engine call cost, no uncalled-engine traces, wasteful post-hoc safety, fragmented logs.</w:t>
      </w:r>
    </w:p>
    <w:p>
      <w:pPr>
        <w:spacing w:after="120" w:line="240" w:lineRule="auto"/>
      </w:pPr>
      <w:r>
        <w:rPr>
          <w:rFonts w:ascii="Noto Sans CJK JP" w:hAnsi="Noto Sans CJK JP" w:eastAsia="Noto Sans CJK JP"/>
          <w:b w:val="0"/>
          <w:sz w:val="22"/>
        </w:rPr>
        <w:t>構成: Per-turn correlation ID · phase gate · candidate-only cost-0 traces · pre-LLM safety records unsent-token estimates · no downstream LLM.</w:t>
      </w:r>
    </w:p>
    <w:p>
      <w:pPr>
        <w:spacing w:after="120" w:line="240" w:lineRule="auto"/>
      </w:pPr>
      <w:r>
        <w:rPr>
          <w:rFonts w:ascii="Noto Sans CJK JP" w:hAnsi="Noto Sans CJK JP" w:eastAsia="Noto Sans CJK JP"/>
          <w:b w:val="0"/>
          <w:sz w:val="22"/>
        </w:rPr>
        <w:t>効果: Reconstruct call/skip/block under one correlation ID. Spec metrics are applicant self-measurement, not third-party grades.</w:t>
      </w:r>
    </w:p>
    <w:p>
      <w:pPr>
        <w:pStyle w:val="Heading1"/>
      </w:pPr>
      <w:r>
        <w:rPr>
          <w:rFonts w:ascii="Noto Sans CJK JP" w:hAnsi="Noto Sans CJK JP" w:eastAsia="Noto Sans CJK JP"/>
          <w:b/>
          <w:sz w:val="28"/>
        </w:rPr>
        <w:t>4.A.10 第10号 — 未成年者複数サービス面事前機能ゲート·監査追跡</w:t>
      </w:r>
    </w:p>
    <w:p>
      <w:pPr>
        <w:spacing w:after="120" w:line="240" w:lineRule="auto"/>
      </w:pPr>
      <w:r>
        <w:rPr>
          <w:rFonts w:ascii="Noto Sans CJK JP" w:hAnsi="Noto Sans CJK JP" w:eastAsia="Noto Sans CJK JP"/>
          <w:b w:val="0"/>
          <w:sz w:val="22"/>
        </w:rPr>
        <w:t>出願番号 10-2026-0124000.</w:t>
      </w:r>
    </w:p>
    <w:p>
      <w:pPr>
        <w:spacing w:after="120" w:line="240" w:lineRule="auto"/>
      </w:pPr>
      <w:r>
        <w:rPr>
          <w:rFonts w:ascii="Noto Sans CJK JP" w:hAnsi="Noto Sans CJK JP" w:eastAsia="Noto Sans CJK JP"/>
          <w:b w:val="0"/>
          <w:sz w:val="22"/>
        </w:rPr>
        <w:t>課題: Cross-surface leak, UI-only blocks that still call APIs, inconsistent minor determination, mutable logs.</w:t>
      </w:r>
    </w:p>
    <w:p>
      <w:pPr>
        <w:spacing w:after="120" w:line="240" w:lineRule="auto"/>
      </w:pPr>
      <w:r>
        <w:rPr>
          <w:rFonts w:ascii="Noto Sans CJK JP" w:hAnsi="Noto Sans CJK JP" w:eastAsia="Noto Sans CJK JP"/>
          <w:b w:val="0"/>
          <w:sz w:val="22"/>
        </w:rPr>
        <w:t>構成: Single minor profile · per-API-path surface pre-eval · on block no downstream call · audit reason·surface·correlation·candidate-only.</w:t>
      </w:r>
    </w:p>
    <w:p>
      <w:pPr>
        <w:spacing w:after="120" w:line="240" w:lineRule="auto"/>
      </w:pPr>
      <w:r>
        <w:rPr>
          <w:rFonts w:ascii="Noto Sans CJK JP" w:hAnsi="Noto Sans CJK JP" w:eastAsia="Noto Sans CJK JP"/>
          <w:b w:val="0"/>
          <w:sz w:val="22"/>
        </w:rPr>
        <w:t>効果: Reduces leak and cosmetic blocks; preserves pre-block evidence.</w:t>
      </w:r>
    </w:p>
    <w:p>
      <w:pPr>
        <w:pStyle w:val="Heading1"/>
      </w:pPr>
      <w:r>
        <w:rPr>
          <w:rFonts w:ascii="Noto Sans CJK JP" w:hAnsi="Noto Sans CJK JP" w:eastAsia="Noto Sans CJK JP"/>
          <w:b/>
          <w:sz w:val="28"/>
        </w:rPr>
        <w:t>4.B 著作権 — 製品·規範の表現物5件</w:t>
      </w:r>
    </w:p>
    <w:p>
      <w:pPr>
        <w:spacing w:after="120" w:line="240" w:lineRule="auto"/>
      </w:pPr>
      <w:r>
        <w:rPr>
          <w:rFonts w:ascii="Noto Sans CJK JP" w:hAnsi="Noto Sans CJK JP" w:eastAsia="Noto Sans CJK JP"/>
          <w:b w:val="0"/>
          <w:sz w:val="22"/>
        </w:rPr>
        <w:t>著作権はリストではなくコア技術の表現軸である。特許が方法·システムを保護するなら、著作権はその実装であるプログラム·規範文書の表現を登録する。機関: 韓国著作権委員会 · 著作権法第53条。登録証PDF確認済。</w:t>
      </w:r>
    </w:p>
    <w:p>
      <w:pPr>
        <w:pStyle w:val="Heading1"/>
      </w:pPr>
      <w:r>
        <w:rPr>
          <w:rFonts w:ascii="Noto Sans CJK JP" w:hAnsi="Noto Sans CJK JP" w:eastAsia="Noto Sans CJK JP"/>
          <w:b/>
          <w:sz w:val="28"/>
        </w:rPr>
        <w:t>4.B.1 C-2026-036487 — メディアコンテンツ来歴認証ポータル（プログラム）</w:t>
      </w:r>
    </w:p>
    <w:p>
      <w:pPr>
        <w:spacing w:after="120" w:line="240" w:lineRule="auto"/>
      </w:pPr>
      <w:r>
        <w:rPr>
          <w:rFonts w:ascii="Noto Sans CJK JP" w:hAnsi="Noto Sans CJK JP" w:eastAsia="Noto Sans CJK JP"/>
          <w:b w:val="0"/>
          <w:sz w:val="22"/>
        </w:rPr>
        <w:t>登録日 2026-07-23 · 著作者 株式会社ジェンルック。</w:t>
      </w:r>
    </w:p>
    <w:p>
      <w:pPr>
        <w:spacing w:after="120" w:line="240" w:lineRule="auto"/>
      </w:pPr>
      <w:r>
        <w:rPr>
          <w:rFonts w:ascii="Noto Sans CJK JP" w:hAnsi="Noto Sans CJK JP" w:eastAsia="Noto Sans CJK JP"/>
          <w:b w:val="0"/>
          <w:sz w:val="22"/>
        </w:rPr>
        <w:t>役割: C2PA embed/verify/conformance、Trust List/CA申請追跡UI、透明性ダッシュボード。特許07·08の公開表現。Trust List·Generatorは審査中と正直に表記。</w:t>
      </w:r>
    </w:p>
    <w:p>
      <w:pPr>
        <w:pStyle w:val="Heading1"/>
      </w:pPr>
      <w:r>
        <w:rPr>
          <w:rFonts w:ascii="Noto Sans CJK JP" w:hAnsi="Noto Sans CJK JP" w:eastAsia="Noto Sans CJK JP"/>
          <w:b/>
          <w:sz w:val="28"/>
        </w:rPr>
        <w:t>4.B.2 C-2026-037388 — XenLook On（プログラム）</w:t>
      </w:r>
    </w:p>
    <w:p>
      <w:pPr>
        <w:spacing w:after="120" w:line="240" w:lineRule="auto"/>
      </w:pPr>
      <w:r>
        <w:rPr>
          <w:rFonts w:ascii="Noto Sans CJK JP" w:hAnsi="Noto Sans CJK JP" w:eastAsia="Noto Sans CJK JP"/>
          <w:b w:val="0"/>
          <w:sz w:val="22"/>
        </w:rPr>
        <w:t>登録日 2026-07-30 · XenLook On — エージェント対話·ギャラリー·プロフィール。</w:t>
      </w:r>
    </w:p>
    <w:p>
      <w:pPr>
        <w:spacing w:after="120" w:line="240" w:lineRule="auto"/>
      </w:pPr>
      <w:r>
        <w:rPr>
          <w:rFonts w:ascii="Noto Sans CJK JP" w:hAnsi="Noto Sans CJK JP" w:eastAsia="Noto Sans CJK JP"/>
          <w:b w:val="0"/>
          <w:sz w:val="22"/>
        </w:rPr>
        <w:t>役割: 1:1対話シェル、ギャラリー·プロフィール·生涯史タブ。特許04·05·06·09·10が動く主対話面。</w:t>
      </w:r>
    </w:p>
    <w:p>
      <w:pPr>
        <w:pStyle w:val="Heading1"/>
      </w:pPr>
      <w:r>
        <w:rPr>
          <w:rFonts w:ascii="Noto Sans CJK JP" w:hAnsi="Noto Sans CJK JP" w:eastAsia="Noto Sans CJK JP"/>
          <w:b/>
          <w:sz w:val="28"/>
        </w:rPr>
        <w:t>4.B.3 C-2026-037389 — XenLook Landing（プログラム）</w:t>
      </w:r>
    </w:p>
    <w:p>
      <w:pPr>
        <w:spacing w:after="120" w:line="240" w:lineRule="auto"/>
      </w:pPr>
      <w:r>
        <w:rPr>
          <w:rFonts w:ascii="Noto Sans CJK JP" w:hAnsi="Noto Sans CJK JP" w:eastAsia="Noto Sans CJK JP"/>
          <w:b w:val="0"/>
          <w:sz w:val="22"/>
        </w:rPr>
        <w:t>登録日 2026-07-30 · 公開マーケ·コンプライアンス·ブログ面。</w:t>
      </w:r>
    </w:p>
    <w:p>
      <w:pPr>
        <w:spacing w:after="120" w:line="240" w:lineRule="auto"/>
      </w:pPr>
      <w:r>
        <w:rPr>
          <w:rFonts w:ascii="Noto Sans CJK JP" w:hAnsi="Noto Sans CJK JP" w:eastAsia="Noto Sans CJK JP"/>
          <w:b w:val="0"/>
          <w:sz w:val="22"/>
        </w:rPr>
        <w:t>役割: 製品·政策·認証ハブ·IP開示の公開入口。コアC信頼状態の伝達面。</w:t>
      </w:r>
    </w:p>
    <w:p>
      <w:pPr>
        <w:pStyle w:val="Heading1"/>
      </w:pPr>
      <w:r>
        <w:rPr>
          <w:rFonts w:ascii="Noto Sans CJK JP" w:hAnsi="Noto Sans CJK JP" w:eastAsia="Noto Sans CJK JP"/>
          <w:b/>
          <w:sz w:val="28"/>
        </w:rPr>
        <w:t>4.B.4 C-2026-037390 — XenLook Signal（プログラム）</w:t>
      </w:r>
    </w:p>
    <w:p>
      <w:pPr>
        <w:spacing w:after="120" w:line="240" w:lineRule="auto"/>
      </w:pPr>
      <w:r>
        <w:rPr>
          <w:rFonts w:ascii="Noto Sans CJK JP" w:hAnsi="Noto Sans CJK JP" w:eastAsia="Noto Sans CJK JP"/>
          <w:b w:val="0"/>
          <w:sz w:val="22"/>
        </w:rPr>
        <w:t>登録日 2026-07-30 · AI安全シミュレーション·技術Qアーカイブ。</w:t>
      </w:r>
    </w:p>
    <w:p>
      <w:pPr>
        <w:spacing w:after="120" w:line="240" w:lineRule="auto"/>
      </w:pPr>
      <w:r>
        <w:rPr>
          <w:rFonts w:ascii="Noto Sans CJK JP" w:hAnsi="Noto Sans CJK JP" w:eastAsia="Noto Sans CJK JP"/>
          <w:b w:val="0"/>
          <w:sz w:val="22"/>
        </w:rPr>
        <w:t>役割: 安全·技術質問·アーカイブ面。特許01の公開監査軸と接続。</w:t>
      </w:r>
    </w:p>
    <w:p>
      <w:pPr>
        <w:pStyle w:val="Heading1"/>
      </w:pPr>
      <w:r>
        <w:rPr>
          <w:rFonts w:ascii="Noto Sans CJK JP" w:hAnsi="Noto Sans CJK JP" w:eastAsia="Noto Sans CJK JP"/>
          <w:b/>
          <w:sz w:val="28"/>
        </w:rPr>
        <w:t>4.B.5 C-2026-037563 — AIエージェント憲法（言語著作物）</w:t>
      </w:r>
    </w:p>
    <w:p>
      <w:pPr>
        <w:spacing w:after="120" w:line="240" w:lineRule="auto"/>
      </w:pPr>
      <w:r>
        <w:rPr>
          <w:rFonts w:ascii="Noto Sans CJK JP" w:hAnsi="Noto Sans CJK JP" w:eastAsia="Noto Sans CJK JP"/>
          <w:b w:val="0"/>
          <w:sz w:val="22"/>
        </w:rPr>
        <w:t>登録日 2026-07-31 · 共同著作者 ヤン·ヨンギョン · ナム·ヒョンウ。</w:t>
      </w:r>
    </w:p>
    <w:p>
      <w:pPr>
        <w:spacing w:after="120" w:line="240" w:lineRule="auto"/>
      </w:pPr>
      <w:r>
        <w:rPr>
          <w:rFonts w:ascii="Noto Sans CJK JP" w:hAnsi="Noto Sans CJK JP" w:eastAsia="Noto Sans CJK JP"/>
          <w:b w:val="0"/>
          <w:sz w:val="22"/>
        </w:rPr>
        <w:t>役割: エージェント運用·倫理·アイデンティティ規範の言語表現。特許09の憲法型事前安全と規範的に接続。</w:t>
      </w:r>
    </w:p>
    <w:p>
      <w:pPr>
        <w:pStyle w:val="Heading1"/>
      </w:pPr>
      <w:r>
        <w:rPr>
          <w:rFonts w:ascii="Noto Sans CJK JP" w:hAnsi="Noto Sans CJK JP" w:eastAsia="Noto Sans CJK JP"/>
          <w:b/>
          <w:sz w:val="28"/>
        </w:rPr>
        <w:t>4.C 信頼·ガバナンス（コア技術·詳細）</w:t>
      </w:r>
    </w:p>
    <w:p>
      <w:pPr>
        <w:spacing w:after="120" w:line="240" w:lineRule="auto"/>
      </w:pPr>
      <w:r>
        <w:rPr>
          <w:rFonts w:ascii="Noto Sans CJK JP" w:hAnsi="Noto Sans CJK JP" w:eastAsia="Noto Sans CJK JP"/>
          <w:b w:val="0"/>
          <w:sz w:val="22"/>
        </w:rPr>
        <w:t>信頼·ガバナンスは付録ではなくコア技術である。特許·著作権が『何を作ったか』なら、本節は『どう検証·開示·審査状態を運用するか』である。状態を混ぜてCertifiedのように書かない。</w:t>
      </w:r>
    </w:p>
    <w:p>
      <w:pPr>
        <w:pStyle w:val="Heading1"/>
      </w:pPr>
      <w:r>
        <w:rPr>
          <w:rFonts w:ascii="Noto Sans CJK JP" w:hAnsi="Noto Sans CJK JP" w:eastAsia="Noto Sans CJK JP"/>
          <w:b/>
          <w:sz w:val="28"/>
        </w:rPr>
        <w:t>4.C.1 状態定義（固定）</w:t>
      </w:r>
    </w:p>
    <w:p>
      <w:pPr>
        <w:pStyle w:val="ListBullet"/>
      </w:pPr>
      <w:r>
        <w:rPr>
          <w:rFonts w:ascii="Noto Sans CJK JP" w:hAnsi="Noto Sans CJK JP" w:eastAsia="Noto Sans CJK JP"/>
          <w:b w:val="0"/>
          <w:sz w:val="22"/>
        </w:rPr>
        <w:t>自己評価 — 内部点検·公開エビデンス完了。第三者証明書ではない</w:t>
      </w:r>
    </w:p>
    <w:p>
      <w:pPr>
        <w:pStyle w:val="ListBullet"/>
      </w:pPr>
      <w:r>
        <w:rPr>
          <w:rFonts w:ascii="Noto Sans CJK JP" w:hAnsi="Noto Sans CJK JP" w:eastAsia="Noto Sans CJK JP"/>
          <w:b w:val="0"/>
          <w:sz w:val="22"/>
        </w:rPr>
        <w:t>登載 — 外部レジストリ·会員名簿に掲載された事実</w:t>
      </w:r>
    </w:p>
    <w:p>
      <w:pPr>
        <w:pStyle w:val="ListBullet"/>
      </w:pPr>
      <w:r>
        <w:rPr>
          <w:rFonts w:ascii="Noto Sans CJK JP" w:hAnsi="Noto Sans CJK JP" w:eastAsia="Noto Sans CJK JP"/>
          <w:b w:val="0"/>
          <w:sz w:val="22"/>
        </w:rPr>
        <w:t>審査中 — 外部審査進行中。承認·登載完了ではない</w:t>
      </w:r>
    </w:p>
    <w:p>
      <w:pPr>
        <w:pStyle w:val="ListBullet"/>
      </w:pPr>
      <w:r>
        <w:rPr>
          <w:rFonts w:ascii="Noto Sans CJK JP" w:hAnsi="Noto Sans CJK JP" w:eastAsia="Noto Sans CJK JP"/>
          <w:b w:val="0"/>
          <w:sz w:val="22"/>
        </w:rPr>
        <w:t>ロードマップ — 予定·計画のみ、または未着手</w:t>
      </w:r>
    </w:p>
    <w:p>
      <w:pPr>
        <w:pStyle w:val="ListBullet"/>
      </w:pPr>
      <w:r>
        <w:rPr>
          <w:rFonts w:ascii="Noto Sans CJK JP" w:hAnsi="Noto Sans CJK JP" w:eastAsia="Noto Sans CJK JP"/>
          <w:b w:val="0"/>
          <w:sz w:val="22"/>
        </w:rPr>
        <w:t>未保有 — Certified / CE貼付 / Trust List登載完了などの主張禁止</w:t>
      </w:r>
    </w:p>
    <w:p>
      <w:pPr>
        <w:pStyle w:val="Heading1"/>
      </w:pPr>
      <w:r>
        <w:rPr>
          <w:rFonts w:ascii="Noto Sans CJK JP" w:hAnsi="Noto Sans CJK JP" w:eastAsia="Noto Sans CJK JP"/>
          <w:b/>
          <w:sz w:val="28"/>
        </w:rPr>
        <w:t>4.C.2 安全·品質運用（製品内ガバナンス）</w:t>
      </w:r>
    </w:p>
    <w:p>
      <w:pPr>
        <w:spacing w:after="120" w:line="240" w:lineRule="auto"/>
      </w:pPr>
      <w:r>
        <w:rPr>
          <w:rFonts w:ascii="Noto Sans CJK JP" w:hAnsi="Noto Sans CJK JP" w:eastAsia="Noto Sans CJK JP"/>
          <w:b w:val="0"/>
          <w:sz w:val="22"/>
        </w:rPr>
        <w:t>対話ターンは安全ゲートとエンジン登録簿·段階ゲートを通過する（特許09）。未成年はsurface·API経路の事前ゲートで下流呼出を止める（特許10）。ペルソナメディアは忠実度審査通過後にのみ来歴署名する（特許08）。公開前検証·監査記録は特許01軸。</w:t>
      </w:r>
    </w:p>
    <w:p>
      <w:pPr>
        <w:spacing w:after="120" w:line="240" w:lineRule="auto"/>
      </w:pPr>
      <w:r>
        <w:rPr>
          <w:rFonts w:ascii="Noto Sans CJK JP" w:hAnsi="Noto Sans CJK JP" w:eastAsia="Noto Sans CJK JP"/>
          <w:b w:val="0"/>
          <w:sz w:val="22"/>
        </w:rPr>
        <w:t>品質ルーブリックとdual-LLM terminal chainは運用ポリシーであり、製品100点や法的クリアランス完了の代替主張ではない。</w:t>
      </w:r>
    </w:p>
    <w:p>
      <w:pPr>
        <w:pStyle w:val="Heading1"/>
      </w:pPr>
      <w:r>
        <w:rPr>
          <w:rFonts w:ascii="Noto Sans CJK JP" w:hAnsi="Noto Sans CJK JP" w:eastAsia="Noto Sans CJK JP"/>
          <w:b/>
          <w:sz w:val="28"/>
        </w:rPr>
        <w:t>4.C.3 メディア来歴ガバナンス（C2PA）</w:t>
      </w:r>
    </w:p>
    <w:p>
      <w:pPr>
        <w:spacing w:after="120" w:line="240" w:lineRule="auto"/>
      </w:pPr>
      <w:r>
        <w:rPr>
          <w:rFonts w:ascii="Noto Sans CJK JP" w:hAnsi="Noto Sans CJK JP" w:eastAsia="Noto Sans CJK JP"/>
          <w:b w:val="0"/>
          <w:sz w:val="22"/>
        </w:rPr>
        <w:t>C2PA Certification Authority Agreementは締結済（2026-06-13）。領域は韓国→日本（KR→JP）。グローバルCA主張なし。</w:t>
      </w:r>
    </w:p>
    <w:p>
      <w:pPr>
        <w:spacing w:after="120" w:line="240" w:lineRule="auto"/>
      </w:pPr>
      <w:r>
        <w:rPr>
          <w:rFonts w:ascii="Noto Sans CJK JP" w:hAnsi="Noto Sans CJK JP" w:eastAsia="Noto Sans CJK JP"/>
          <w:b w:val="0"/>
          <w:sz w:val="22"/>
        </w:rPr>
        <w:t>Trust List登載とGeneratorは審査中。公開コピー·ポータル·本白書は審査中/under reviewのみ。登載完了·承認完了と書かない。</w:t>
      </w:r>
    </w:p>
    <w:p>
      <w:pPr>
        <w:spacing w:after="120" w:line="240" w:lineRule="auto"/>
      </w:pPr>
      <w:r>
        <w:rPr>
          <w:rFonts w:ascii="Noto Sans CJK JP" w:hAnsi="Noto Sans CJK JP" w:eastAsia="Noto Sans CJK JP"/>
          <w:b w:val="0"/>
          <w:sz w:val="22"/>
        </w:rPr>
        <w:t>著作権登録ポータル（C-2026-036487）がこのガバナンスの公開表現。階層マニフェスト（M1–M3）·3レーン署名ゲートは特許07·08と接続。</w:t>
      </w:r>
    </w:p>
    <w:p>
      <w:pPr>
        <w:pStyle w:val="Heading1"/>
      </w:pPr>
      <w:r>
        <w:rPr>
          <w:rFonts w:ascii="Noto Sans CJK JP" w:hAnsi="Noto Sans CJK JP" w:eastAsia="Noto Sans CJK JP"/>
          <w:b/>
          <w:sz w:val="28"/>
        </w:rPr>
        <w:t>4.C.4 外部フレームワーク·会員資格（詳細現状）</w:t>
      </w:r>
    </w:p>
    <w:p>
      <w:pPr>
        <w:spacing w:after="120" w:line="240" w:lineRule="auto"/>
      </w:pPr>
      <w:r>
        <w:rPr>
          <w:rFonts w:ascii="Noto Sans CJK JP" w:hAnsi="Noto Sans CJK JP" w:eastAsia="Noto Sans CJK JP"/>
          <w:b w:val="0"/>
          <w:sz w:val="22"/>
        </w:rPr>
        <w:t>ハブ: https://xenlook.com/ai-certification · https://xenlook.com/compliance</w:t>
      </w:r>
    </w:p>
    <w:p>
      <w:pPr>
        <w:pStyle w:val="ListBullet"/>
      </w:pPr>
      <w:r>
        <w:rPr>
          <w:rFonts w:ascii="Noto Sans CJK JP" w:hAnsi="Noto Sans CJK JP" w:eastAsia="Noto Sans CJK JP"/>
          <w:b w:val="0"/>
          <w:sz w:val="22"/>
        </w:rPr>
        <w:t>IMDA AI Verify — 11原則自己評価完了 · エビデンスCI · IMDA registry certificationではない</w:t>
      </w:r>
    </w:p>
    <w:p>
      <w:pPr>
        <w:pStyle w:val="ListBullet"/>
      </w:pPr>
      <w:r>
        <w:rPr>
          <w:rFonts w:ascii="Noto Sans CJK JP" w:hAnsi="Noto Sans CJK JP" w:eastAsia="Noto Sans CJK JP"/>
          <w:b w:val="0"/>
          <w:sz w:val="22"/>
        </w:rPr>
        <w:t>TTA genAI / Trust Ops — 自己評価·運用マッピング · TTA CAT受領主張なし · CATはロードマップ</w:t>
      </w:r>
    </w:p>
    <w:p>
      <w:pPr>
        <w:pStyle w:val="ListBullet"/>
      </w:pPr>
      <w:r>
        <w:rPr>
          <w:rFonts w:ascii="Noto Sans CJK JP" w:hAnsi="Noto Sans CJK JP" w:eastAsia="Noto Sans CJK JP"/>
          <w:b w:val="0"/>
          <w:sz w:val="22"/>
        </w:rPr>
        <w:t>NIST AI RMF — マッピング証跡 · NIST証明書保有主張なし</w:t>
      </w:r>
    </w:p>
    <w:p>
      <w:pPr>
        <w:pStyle w:val="ListBullet"/>
      </w:pPr>
      <w:r>
        <w:rPr>
          <w:rFonts w:ascii="Noto Sans CJK JP" w:hAnsi="Noto Sans CJK JP" w:eastAsia="Noto Sans CJK JP"/>
          <w:b w:val="0"/>
          <w:sz w:val="22"/>
        </w:rPr>
        <w:t>OWASP LLM Top 10 — 脅威·制御マッピング · 認証プログラムではない</w:t>
      </w:r>
    </w:p>
    <w:p>
      <w:pPr>
        <w:pStyle w:val="ListBullet"/>
      </w:pPr>
      <w:r>
        <w:rPr>
          <w:rFonts w:ascii="Noto Sans CJK JP" w:hAnsi="Noto Sans CJK JP" w:eastAsia="Noto Sans CJK JP"/>
          <w:b w:val="0"/>
          <w:sz w:val="22"/>
        </w:rPr>
        <w:t>CSA STAR Level 1 — レジストリ登載 · self-assessment · 2026-06-12掲載分</w:t>
      </w:r>
    </w:p>
    <w:p>
      <w:pPr>
        <w:pStyle w:val="ListBullet"/>
      </w:pPr>
      <w:r>
        <w:rPr>
          <w:rFonts w:ascii="Noto Sans CJK JP" w:hAnsi="Noto Sans CJK JP" w:eastAsia="Noto Sans CJK JP"/>
          <w:b w:val="0"/>
          <w:sz w:val="22"/>
        </w:rPr>
        <w:t>CAI会員 — 登載</w:t>
      </w:r>
    </w:p>
    <w:p>
      <w:pPr>
        <w:pStyle w:val="ListBullet"/>
      </w:pPr>
      <w:r>
        <w:rPr>
          <w:rFonts w:ascii="Noto Sans CJK JP" w:hAnsi="Noto Sans CJK JP" w:eastAsia="Noto Sans CJK JP"/>
          <w:b w:val="0"/>
          <w:sz w:val="22"/>
        </w:rPr>
        <w:t>C2PA CA Agreement — 締結 · Trust List·Generator審査中</w:t>
      </w:r>
    </w:p>
    <w:p>
      <w:pPr>
        <w:pStyle w:val="ListBullet"/>
      </w:pPr>
      <w:r>
        <w:rPr>
          <w:rFonts w:ascii="Noto Sans CJK JP" w:hAnsi="Noto Sans CJK JP" w:eastAsia="Noto Sans CJK JP"/>
          <w:b w:val="0"/>
          <w:sz w:val="22"/>
        </w:rPr>
        <w:t>NVIDIA Inception — Stage 1</w:t>
      </w:r>
    </w:p>
    <w:p>
      <w:pPr>
        <w:pStyle w:val="ListBullet"/>
      </w:pPr>
      <w:r>
        <w:rPr>
          <w:rFonts w:ascii="Noto Sans CJK JP" w:hAnsi="Noto Sans CJK JP" w:eastAsia="Noto Sans CJK JP"/>
          <w:b w:val="0"/>
          <w:sz w:val="22"/>
        </w:rPr>
        <w:t>EU CE / CRA — 準備·残件追跡 · CEマーキング主張なし</w:t>
      </w:r>
    </w:p>
    <w:p>
      <w:pPr>
        <w:pStyle w:val="ListBullet"/>
      </w:pPr>
      <w:r>
        <w:rPr>
          <w:rFonts w:ascii="Noto Sans CJK JP" w:hAnsi="Noto Sans CJK JP" w:eastAsia="Noto Sans CJK JP"/>
          <w:b w:val="0"/>
          <w:sz w:val="22"/>
        </w:rPr>
        <w:t>WCAG 2.2 AA — 内部ゲート · 第三者監査成績書の代替ではない</w:t>
      </w:r>
    </w:p>
    <w:p>
      <w:pPr>
        <w:pStyle w:val="ListBullet"/>
      </w:pPr>
      <w:r>
        <w:rPr>
          <w:rFonts w:ascii="Noto Sans CJK JP" w:hAnsi="Noto Sans CJK JP" w:eastAsia="Noto Sans CJK JP"/>
          <w:b w:val="0"/>
          <w:sz w:val="22"/>
        </w:rPr>
        <w:t>韓国AI基本法チェックリスト — 内部点検·利用者告知 · 政府認証ではない</w:t>
      </w:r>
    </w:p>
    <w:p>
      <w:pPr>
        <w:pStyle w:val="ListBullet"/>
      </w:pPr>
      <w:r>
        <w:rPr>
          <w:rFonts w:ascii="Noto Sans CJK JP" w:hAnsi="Noto Sans CJK JP" w:eastAsia="Noto Sans CJK JP"/>
          <w:b w:val="0"/>
          <w:sz w:val="22"/>
        </w:rPr>
        <w:t>日本AIガイドライン·米国開示·EU Art.50 — 管轄ハブに文書化 · Certified完了ではない</w:t>
      </w:r>
    </w:p>
    <w:p>
      <w:pPr>
        <w:pStyle w:val="Heading1"/>
      </w:pPr>
      <w:r>
        <w:rPr>
          <w:rFonts w:ascii="Noto Sans CJK JP" w:hAnsi="Noto Sans CJK JP" w:eastAsia="Noto Sans CJK JP"/>
          <w:b/>
          <w:sz w:val="28"/>
        </w:rPr>
        <w:t>4.C.5 ガバナンスと特許·著作権の結合</w:t>
      </w:r>
    </w:p>
    <w:p>
      <w:pPr>
        <w:pStyle w:val="ListBullet"/>
      </w:pPr>
      <w:r>
        <w:rPr>
          <w:rFonts w:ascii="Noto Sans CJK JP" w:hAnsi="Noto Sans CJK JP" w:eastAsia="Noto Sans CJK JP"/>
          <w:b w:val="0"/>
          <w:sz w:val="22"/>
        </w:rPr>
        <w:t>事前安全·未呼出追跡（特許09）↔ 憲法·On品質政策</w:t>
      </w:r>
    </w:p>
    <w:p>
      <w:pPr>
        <w:pStyle w:val="ListBullet"/>
      </w:pPr>
      <w:r>
        <w:rPr>
          <w:rFonts w:ascii="Noto Sans CJK JP" w:hAnsi="Noto Sans CJK JP" w:eastAsia="Noto Sans CJK JP"/>
          <w:b w:val="0"/>
          <w:sz w:val="22"/>
        </w:rPr>
        <w:t>未成年surfaceゲート（特許10）↔ Landing/On告知·ゲートUI</w:t>
      </w:r>
    </w:p>
    <w:p>
      <w:pPr>
        <w:pStyle w:val="ListBullet"/>
      </w:pPr>
      <w:r>
        <w:rPr>
          <w:rFonts w:ascii="Noto Sans CJK JP" w:hAnsi="Noto Sans CJK JP" w:eastAsia="Noto Sans CJK JP"/>
          <w:b w:val="0"/>
          <w:sz w:val="22"/>
        </w:rPr>
        <w:t>来歴M1–M3·3レーン署名（特許07·08）↔ C2PAポータル著作権 · Trust List審査中開示</w:t>
      </w:r>
    </w:p>
    <w:p>
      <w:pPr>
        <w:pStyle w:val="ListBullet"/>
      </w:pPr>
      <w:r>
        <w:rPr>
          <w:rFonts w:ascii="Noto Sans CJK JP" w:hAnsi="Noto Sans CJK JP" w:eastAsia="Noto Sans CJK JP"/>
          <w:b w:val="0"/>
          <w:sz w:val="22"/>
        </w:rPr>
        <w:t>公開前検証·監査（特許01）↔ Signal·Landingコンプライアンス面</w:t>
      </w:r>
    </w:p>
    <w:p>
      <w:pPr>
        <w:pStyle w:val="ListBullet"/>
      </w:pPr>
      <w:r>
        <w:rPr>
          <w:rFonts w:ascii="Noto Sans CJK JP" w:hAnsi="Noto Sans CJK JP" w:eastAsia="Noto Sans CJK JP"/>
          <w:b w:val="0"/>
          <w:sz w:val="22"/>
        </w:rPr>
        <w:t>枠組み自己評価/登載/審査中表（4.C.4）↔ /ai-certificationハブ</w:t>
      </w:r>
    </w:p>
    <w:p>
      <w:pPr>
        <w:pStyle w:val="Heading1"/>
      </w:pPr>
      <w:r>
        <w:rPr>
          <w:rFonts w:ascii="Noto Sans CJK JP" w:hAnsi="Noto Sans CJK JP" w:eastAsia="Noto Sans CJK JP"/>
          <w:b/>
          <w:sz w:val="28"/>
        </w:rPr>
        <w:t>5. コア技術が製品をどう組み立てるか</w:t>
      </w:r>
    </w:p>
    <w:p>
      <w:pPr>
        <w:pStyle w:val="ListBullet"/>
      </w:pPr>
      <w:r>
        <w:rPr>
          <w:rFonts w:ascii="Noto Sans CJK JP" w:hAnsi="Noto Sans CJK JP" w:eastAsia="Noto Sans CJK JP"/>
          <w:b w:val="0"/>
          <w:sz w:val="22"/>
        </w:rPr>
        <w:t>パートナー対話（On著作権）: 特許04·05·06·09·10 + 4.C.2</w:t>
      </w:r>
    </w:p>
    <w:p>
      <w:pPr>
        <w:pStyle w:val="ListBullet"/>
      </w:pPr>
      <w:r>
        <w:rPr>
          <w:rFonts w:ascii="Noto Sans CJK JP" w:hAnsi="Noto Sans CJK JP" w:eastAsia="Noto Sans CJK JP"/>
          <w:b w:val="0"/>
          <w:sz w:val="22"/>
        </w:rPr>
        <w:t>メディア·ギャラリー: 特許08(+07) + C2PAポータル著作権 + 4.C.3</w:t>
      </w:r>
    </w:p>
    <w:p>
      <w:pPr>
        <w:pStyle w:val="ListBullet"/>
      </w:pPr>
      <w:r>
        <w:rPr>
          <w:rFonts w:ascii="Noto Sans CJK JP" w:hAnsi="Noto Sans CJK JP" w:eastAsia="Noto Sans CJK JP"/>
          <w:b w:val="0"/>
          <w:sz w:val="22"/>
        </w:rPr>
        <w:t>キャンパス·スタジオ: 特許02·03 + 特許01</w:t>
      </w:r>
    </w:p>
    <w:p>
      <w:pPr>
        <w:pStyle w:val="ListBullet"/>
      </w:pPr>
      <w:r>
        <w:rPr>
          <w:rFonts w:ascii="Noto Sans CJK JP" w:hAnsi="Noto Sans CJK JP" w:eastAsia="Noto Sans CJK JP"/>
          <w:b w:val="0"/>
          <w:sz w:val="22"/>
        </w:rPr>
        <w:t>公開信頼ハブ（Landing著作権）: 4.C.4 + IP開示</w:t>
      </w:r>
    </w:p>
    <w:p>
      <w:pPr>
        <w:pStyle w:val="Heading1"/>
      </w:pPr>
      <w:r>
        <w:rPr>
          <w:rFonts w:ascii="Noto Sans CJK JP" w:hAnsi="Noto Sans CJK JP" w:eastAsia="Noto Sans CJK JP"/>
          <w:b/>
          <w:sz w:val="28"/>
        </w:rPr>
        <w:t>6. 商標</w:t>
      </w:r>
    </w:p>
    <w:p>
      <w:pPr>
        <w:pStyle w:val="ListBullet"/>
      </w:pPr>
      <w:r>
        <w:rPr>
          <w:rFonts w:ascii="Noto Sans CJK JP" w:hAnsi="Noto Sans CJK JP" w:eastAsia="Noto Sans CJK JP"/>
          <w:b w:val="0"/>
          <w:sz w:val="22"/>
        </w:rPr>
        <w:t>標章: XENLOOK ワードマーク</w:t>
      </w:r>
    </w:p>
    <w:p>
      <w:pPr>
        <w:pStyle w:val="ListBullet"/>
      </w:pPr>
      <w:r>
        <w:rPr>
          <w:rFonts w:ascii="Noto Sans CJK JP" w:hAnsi="Noto Sans CJK JP" w:eastAsia="Noto Sans CJK JP"/>
          <w:b w:val="0"/>
          <w:sz w:val="22"/>
        </w:rPr>
        <w:t>出願番号: 40-2026-0119385</w:t>
      </w:r>
    </w:p>
    <w:p>
      <w:pPr>
        <w:pStyle w:val="ListBullet"/>
      </w:pPr>
      <w:r>
        <w:rPr>
          <w:rFonts w:ascii="Noto Sans CJK JP" w:hAnsi="Noto Sans CJK JP" w:eastAsia="Noto Sans CJK JP"/>
          <w:b w:val="0"/>
          <w:sz w:val="22"/>
        </w:rPr>
        <w:t>受付番号: 1-1-2026-0720692-53 · 2026-06-13</w:t>
      </w:r>
    </w:p>
    <w:p>
      <w:pPr>
        <w:pStyle w:val="ListBullet"/>
      </w:pPr>
      <w:r>
        <w:rPr>
          <w:rFonts w:ascii="Noto Sans CJK JP" w:hAnsi="Noto Sans CJK JP" w:eastAsia="Noto Sans CJK JP"/>
          <w:b w:val="0"/>
          <w:sz w:val="22"/>
        </w:rPr>
        <w:t>書類: 商標登録出願書（第09類を含む3類）</w:t>
      </w:r>
    </w:p>
    <w:p>
      <w:pPr>
        <w:pStyle w:val="ListBullet"/>
      </w:pPr>
      <w:r>
        <w:rPr>
          <w:rFonts w:ascii="Noto Sans CJK JP" w:hAnsi="Noto Sans CJK JP" w:eastAsia="Noto Sans CJK JP"/>
          <w:b w:val="0"/>
          <w:sz w:val="22"/>
        </w:rPr>
        <w:t>状態: 出願済 · 未登録</w:t>
      </w:r>
    </w:p>
    <w:p>
      <w:pPr>
        <w:pStyle w:val="Heading1"/>
      </w:pPr>
      <w:r>
        <w:rPr>
          <w:rFonts w:ascii="Noto Sans CJK JP" w:hAnsi="Noto Sans CJK JP" w:eastAsia="Noto Sans CJK JP"/>
          <w:b/>
          <w:sz w:val="28"/>
        </w:rPr>
        <w:t>7. 範囲と限界</w:t>
      </w:r>
    </w:p>
    <w:p>
      <w:pPr>
        <w:pStyle w:val="ListBullet"/>
      </w:pPr>
      <w:r>
        <w:rPr>
          <w:rFonts w:ascii="Noto Sans CJK JP" w:hAnsi="Noto Sans CJK JP" w:eastAsia="Noto Sans CJK JP"/>
          <w:b w:val="0"/>
          <w:sz w:val="22"/>
        </w:rPr>
        <w:t>含む: 特許の課題·構成·効果、著作権登録の技術的役割、信頼ガバナンス詳細、商標、2027ロードマップ</w:t>
      </w:r>
    </w:p>
    <w:p>
      <w:pPr>
        <w:pStyle w:val="ListBullet"/>
      </w:pPr>
      <w:r>
        <w:rPr>
          <w:rFonts w:ascii="Noto Sans CJK JP" w:hAnsi="Noto Sans CJK JP" w:eastAsia="Noto Sans CJK JP"/>
          <w:b w:val="0"/>
          <w:sz w:val="22"/>
        </w:rPr>
        <w:t>含まない: 請求項全文·図面全文·モデル重み·学習データ構成</w:t>
      </w:r>
    </w:p>
    <w:p>
      <w:pPr>
        <w:pStyle w:val="ListBullet"/>
      </w:pPr>
      <w:r>
        <w:rPr>
          <w:rFonts w:ascii="Noto Sans CJK JP" w:hAnsi="Noto Sans CJK JP" w:eastAsia="Noto Sans CJK JP"/>
          <w:b w:val="0"/>
          <w:sz w:val="22"/>
        </w:rPr>
        <w:t>ASB: 概念のみ · 実装完了主張なし</w:t>
      </w:r>
    </w:p>
    <w:p>
      <w:pPr>
        <w:pStyle w:val="ListBullet"/>
      </w:pPr>
      <w:r>
        <w:rPr>
          <w:rFonts w:ascii="Noto Sans CJK JP" w:hAnsi="Noto Sans CJK JP" w:eastAsia="Noto Sans CJK JP"/>
          <w:b w:val="0"/>
          <w:sz w:val="22"/>
        </w:rPr>
        <w:t>明細書定量 = 出願人自己測定 · 外部公認成績ではない</w:t>
      </w:r>
    </w:p>
    <w:p>
      <w:pPr>
        <w:pStyle w:val="ListBullet"/>
      </w:pPr>
      <w:r>
        <w:rPr>
          <w:rFonts w:ascii="Noto Sans CJK JP" w:hAnsi="Noto Sans CJK JP" w:eastAsia="Noto Sans CJK JP"/>
          <w:b w:val="0"/>
          <w:sz w:val="22"/>
        </w:rPr>
        <w:t>製品100点·法的クリアランス完了宣言なし</w:t>
      </w:r>
    </w:p>
    <w:p>
      <w:pPr>
        <w:pStyle w:val="Heading1"/>
      </w:pPr>
      <w:r>
        <w:rPr>
          <w:rFonts w:ascii="Noto Sans CJK JP" w:hAnsi="Noto Sans CJK JP" w:eastAsia="Noto Sans CJK JP"/>
          <w:b/>
          <w:sz w:val="28"/>
        </w:rPr>
        <w:t>8. 製品ロードマップ（2027）</w:t>
      </w:r>
    </w:p>
    <w:p>
      <w:pPr>
        <w:pStyle w:val="ListBullet"/>
      </w:pPr>
      <w:r>
        <w:rPr>
          <w:rFonts w:ascii="Noto Sans CJK JP" w:hAnsi="Noto Sans CJK JP" w:eastAsia="Noto Sans CJK JP"/>
          <w:b w:val="0"/>
          <w:sz w:val="22"/>
        </w:rPr>
        <w:t>2027年1Q — XenLook Guild公開</w:t>
      </w:r>
    </w:p>
    <w:p>
      <w:pPr>
        <w:pStyle w:val="ListBullet"/>
      </w:pPr>
      <w:r>
        <w:rPr>
          <w:rFonts w:ascii="Noto Sans CJK JP" w:hAnsi="Noto Sans CJK JP" w:eastAsia="Noto Sans CJK JP"/>
          <w:b w:val="0"/>
          <w:sz w:val="22"/>
        </w:rPr>
        <w:t>2027年1Q — エージェント標準脳ASB（概念開示）</w:t>
      </w:r>
    </w:p>
    <w:p>
      <w:pPr>
        <w:pStyle w:val="ListBullet"/>
      </w:pPr>
      <w:r>
        <w:rPr>
          <w:rFonts w:ascii="Noto Sans CJK JP" w:hAnsi="Noto Sans CJK JP" w:eastAsia="Noto Sans CJK JP"/>
          <w:b w:val="0"/>
          <w:sz w:val="22"/>
        </w:rPr>
        <w:t>2027年2–3Q — XenLook World</w:t>
      </w:r>
    </w:p>
    <w:p>
      <w:pPr>
        <w:pStyle w:val="ListBullet"/>
      </w:pPr>
      <w:r>
        <w:rPr>
          <w:rFonts w:ascii="Noto Sans CJK JP" w:hAnsi="Noto Sans CJK JP" w:eastAsia="Noto Sans CJK JP"/>
          <w:b w:val="0"/>
          <w:sz w:val="22"/>
        </w:rPr>
        <w:t>2027年4Q — Agent OS公開</w:t>
      </w:r>
    </w:p>
    <w:p>
      <w:pPr>
        <w:pStyle w:val="ListBullet"/>
      </w:pPr>
      <w:r>
        <w:rPr>
          <w:rFonts w:ascii="Noto Sans CJK JP" w:hAnsi="Noto Sans CJK JP" w:eastAsia="Noto Sans CJK JP"/>
          <w:b w:val="0"/>
          <w:sz w:val="22"/>
        </w:rPr>
        <w:t>並行 — C2PA Trust List·Generator審査 · KR→JP CA · 特許審査請求は予算·日程次第</w:t>
      </w:r>
    </w:p>
    <w:p>
      <w:pPr>
        <w:pStyle w:val="Heading1"/>
      </w:pPr>
      <w:r>
        <w:rPr>
          <w:rFonts w:ascii="Noto Sans CJK JP" w:hAnsi="Noto Sans CJK JP" w:eastAsia="Noto Sans CJK JP"/>
          <w:b/>
          <w:sz w:val="28"/>
        </w:rPr>
        <w:t>9. 結論</w:t>
      </w:r>
    </w:p>
    <w:p>
      <w:pPr>
        <w:spacing w:after="120" w:line="240" w:lineRule="auto"/>
      </w:pPr>
      <w:r>
        <w:rPr>
          <w:rFonts w:ascii="Noto Sans CJK JP" w:hAnsi="Noto Sans CJK JP" w:eastAsia="Noto Sans CJK JP"/>
          <w:b w:val="0"/>
          <w:sz w:val="22"/>
        </w:rPr>
        <w:t>Core technology is ten patents, five copyrights, and trust/governance detailed inside that core. We do not replace engineering with certification badges, nor confuse under-review, self-assessment, and registry listing.</w:t>
      </w:r>
    </w:p>
    <w:p>
      <w:pPr>
        <w:pStyle w:val="Heading1"/>
      </w:pPr>
      <w:r>
        <w:rPr>
          <w:rFonts w:ascii="Noto Sans CJK JP" w:hAnsi="Noto Sans CJK JP" w:eastAsia="Noto Sans CJK JP"/>
          <w:b/>
          <w:sz w:val="28"/>
        </w:rPr>
        <w:t>付録A. 公開面·文書インデックス</w:t>
      </w:r>
    </w:p>
    <w:p>
      <w:pPr>
        <w:pStyle w:val="ListBullet"/>
      </w:pPr>
      <w:r>
        <w:rPr>
          <w:rFonts w:ascii="Noto Sans CJK JP" w:hAnsi="Noto Sans CJK JP" w:eastAsia="Noto Sans CJK JP"/>
          <w:b w:val="0"/>
          <w:sz w:val="22"/>
        </w:rPr>
        <w:t>https://xenlook.com</w:t>
      </w:r>
    </w:p>
    <w:p>
      <w:pPr>
        <w:pStyle w:val="ListBullet"/>
      </w:pPr>
      <w:r>
        <w:rPr>
          <w:rFonts w:ascii="Noto Sans CJK JP" w:hAnsi="Noto Sans CJK JP" w:eastAsia="Noto Sans CJK JP"/>
          <w:b w:val="0"/>
          <w:sz w:val="22"/>
        </w:rPr>
        <w:t>https://on.xenlook.com</w:t>
      </w:r>
    </w:p>
    <w:p>
      <w:pPr>
        <w:pStyle w:val="ListBullet"/>
      </w:pPr>
      <w:r>
        <w:rPr>
          <w:rFonts w:ascii="Noto Sans CJK JP" w:hAnsi="Noto Sans CJK JP" w:eastAsia="Noto Sans CJK JP"/>
          <w:b w:val="0"/>
          <w:sz w:val="22"/>
        </w:rPr>
        <w:t>https://c2pa.xenlook.com</w:t>
      </w:r>
    </w:p>
    <w:p>
      <w:pPr>
        <w:pStyle w:val="ListBullet"/>
      </w:pPr>
      <w:r>
        <w:rPr>
          <w:rFonts w:ascii="Noto Sans CJK JP" w:hAnsi="Noto Sans CJK JP" w:eastAsia="Noto Sans CJK JP"/>
          <w:b w:val="0"/>
          <w:sz w:val="22"/>
        </w:rPr>
        <w:t>https://xenlook.com/ai-certification</w:t>
      </w:r>
    </w:p>
    <w:p>
      <w:pPr>
        <w:pStyle w:val="ListBullet"/>
      </w:pPr>
      <w:r>
        <w:rPr>
          <w:rFonts w:ascii="Noto Sans CJK JP" w:hAnsi="Noto Sans CJK JP" w:eastAsia="Noto Sans CJK JP"/>
          <w:b w:val="0"/>
          <w:sz w:val="22"/>
        </w:rPr>
        <w:t>https://xenlook.com/ip-protection</w:t>
      </w:r>
    </w:p>
    <w:p>
      <w:pPr>
        <w:pStyle w:val="ListBullet"/>
      </w:pPr>
      <w:r>
        <w:rPr>
          <w:rFonts w:ascii="Noto Sans CJK JP" w:hAnsi="Noto Sans CJK JP" w:eastAsia="Noto Sans CJK JP"/>
          <w:b w:val="0"/>
          <w:sz w:val="22"/>
        </w:rPr>
        <w:t>本白書: https://xenlook.com/ai-certification#tech-cert-whitepaper</w:t>
      </w:r>
    </w:p>
    <w:p>
      <w:pPr>
        <w:pStyle w:val="Heading1"/>
      </w:pPr>
      <w:r>
        <w:rPr>
          <w:rFonts w:ascii="Noto Sans CJK JP" w:hAnsi="Noto Sans CJK JP" w:eastAsia="Noto Sans CJK JP"/>
          <w:b/>
          <w:sz w:val="28"/>
        </w:rPr>
        <w:t>付録B. 用語</w:t>
      </w:r>
    </w:p>
    <w:p>
      <w:pPr>
        <w:pStyle w:val="ListBullet"/>
      </w:pPr>
      <w:r>
        <w:rPr>
          <w:rFonts w:ascii="Noto Sans CJK JP" w:hAnsi="Noto Sans CJK JP" w:eastAsia="Noto Sans CJK JP"/>
          <w:b w:val="0"/>
          <w:sz w:val="22"/>
        </w:rPr>
        <w:t>SOUL / IDENTITY / CHRONICLE — 魂·アイデンティティ·生涯史</w:t>
      </w:r>
    </w:p>
    <w:p>
      <w:pPr>
        <w:pStyle w:val="ListBullet"/>
      </w:pPr>
      <w:r>
        <w:rPr>
          <w:rFonts w:ascii="Noto Sans CJK JP" w:hAnsi="Noto Sans CJK JP" w:eastAsia="Noto Sans CJK JP"/>
          <w:b w:val="0"/>
          <w:sz w:val="22"/>
        </w:rPr>
        <w:t>surface — API経路で区分されるサービス面</w:t>
      </w:r>
    </w:p>
    <w:p>
      <w:pPr>
        <w:pStyle w:val="ListBullet"/>
      </w:pPr>
      <w:r>
        <w:rPr>
          <w:rFonts w:ascii="Noto Sans CJK JP" w:hAnsi="Noto Sans CJK JP" w:eastAsia="Noto Sans CJK JP"/>
          <w:b w:val="0"/>
          <w:sz w:val="22"/>
        </w:rPr>
        <w:t>personaPackHash — 3レーン同一注入のペルソナパックハッシュ</w:t>
      </w:r>
    </w:p>
    <w:p>
      <w:pPr>
        <w:pStyle w:val="ListBullet"/>
      </w:pPr>
      <w:r>
        <w:rPr>
          <w:rFonts w:ascii="Noto Sans CJK JP" w:hAnsi="Noto Sans CJK JP" w:eastAsia="Noto Sans CJK JP"/>
          <w:b w:val="0"/>
          <w:sz w:val="22"/>
        </w:rPr>
        <w:t>C2PA — Content Provenance and Authenticity</w:t>
      </w:r>
    </w:p>
    <w:p>
      <w:pPr>
        <w:pStyle w:val="ListBullet"/>
      </w:pPr>
      <w:r>
        <w:rPr>
          <w:rFonts w:ascii="Noto Sans CJK JP" w:hAnsi="Noto Sans CJK JP" w:eastAsia="Noto Sans CJK JP"/>
          <w:b w:val="0"/>
          <w:sz w:val="22"/>
        </w:rPr>
        <w:t>自己評価 / 登載 / 審査中 / ロードマップ / 未保有 — 4.C.1</w:t>
      </w:r>
    </w:p>
    <w:p>
      <w:pPr>
        <w:pStyle w:val="ListBullet"/>
      </w:pPr>
      <w:r>
        <w:rPr>
          <w:rFonts w:ascii="Noto Sans CJK JP" w:hAnsi="Noto Sans CJK JP" w:eastAsia="Noto Sans CJK JP"/>
          <w:b w:val="0"/>
          <w:sz w:val="22"/>
        </w:rPr>
        <w:t>ASB — Agent Standard Brain · 概念のみ</w:t>
      </w:r>
    </w:p>
    <w:p>
      <w:pPr>
        <w:pStyle w:val="ListBullet"/>
      </w:pPr>
      <w:r>
        <w:rPr>
          <w:rFonts w:ascii="Noto Sans CJK JP" w:hAnsi="Noto Sans CJK JP" w:eastAsia="Noto Sans CJK JP"/>
          <w:b w:val="0"/>
          <w:sz w:val="22"/>
        </w:rPr>
        <w:t>KR→JP CA — C2PA CA領域</w:t>
      </w:r>
    </w:p>
    <w:p/>
    <w:p>
      <w:pPr>
        <w:spacing w:after="120" w:line="240" w:lineRule="auto"/>
      </w:pPr>
      <w:r>
        <w:rPr>
          <w:rFonts w:ascii="Noto Sans CJK JP" w:hAnsi="Noto Sans CJK JP" w:eastAsia="Noto Sans CJK JP"/>
          <w:b/>
          <w:sz w:val="22"/>
        </w:rPr>
        <w:t>問合せ: help@xenlook.com · 株式会社ジェンルック · https://xenlook.com</w:t>
      </w:r>
    </w:p>
    <w:p>
      <w:pPr>
        <w:spacing w:after="120" w:line="240" w:lineRule="auto"/>
        <w:jc w:val="center"/>
      </w:pPr>
      <w:r>
        <w:rPr>
          <w:rFonts w:ascii="Noto Sans CJK JP" w:hAnsi="Noto Sans CJK JP" w:eastAsia="Noto Sans CJK JP"/>
          <w:b w:val="0"/>
          <w:color w:val="64748B"/>
          <w:sz w:val="18"/>
        </w:rPr>
        <w:t>© 2026 XenLook Inc. · 技術白書 · 12言語合本 · EN→KO→JA→ZH→…</w:t>
      </w:r>
    </w:p>
    <w:p>
      <w:r>
        <w:br w:type="page"/>
      </w:r>
    </w:p>
    <w:p>
      <w:pPr>
        <w:spacing w:after="120" w:line="240" w:lineRule="auto"/>
        <w:jc w:val="center"/>
      </w:pPr>
      <w:r>
        <w:rPr>
          <w:rFonts w:ascii="Noto Sans CJK SC" w:hAnsi="Noto Sans CJK SC" w:eastAsia="Noto Sans CJK SC"/>
          <w:b/>
          <w:color w:val="0EA5E9"/>
          <w:sz w:val="52"/>
        </w:rPr>
        <w:t>XENLOOK</w:t>
      </w:r>
    </w:p>
    <w:p>
      <w:pPr>
        <w:spacing w:after="120" w:line="240" w:lineRule="auto"/>
        <w:jc w:val="center"/>
      </w:pPr>
      <w:r>
        <w:rPr>
          <w:rFonts w:ascii="Noto Sans CJK SC" w:hAnsi="Noto Sans CJK SC" w:eastAsia="Noto Sans CJK SC"/>
          <w:b/>
          <w:sz w:val="36"/>
        </w:rPr>
        <w:t>XENLOOK 技术白皮书</w:t>
      </w:r>
    </w:p>
    <w:p>
      <w:pPr>
        <w:spacing w:after="120" w:line="240" w:lineRule="auto"/>
        <w:jc w:val="center"/>
      </w:pPr>
      <w:r>
        <w:rPr>
          <w:rFonts w:ascii="Noto Sans CJK SC" w:hAnsi="Noto Sans CJK SC" w:eastAsia="Noto Sans CJK SC"/>
          <w:b w:val="0"/>
          <w:color w:val="64748B"/>
          <w:sz w:val="24"/>
        </w:rPr>
        <w:t>合订本 · 核心技术（专利·著作权·信任治理）· 商标 · 路线图 · 12语合订</w:t>
      </w:r>
    </w:p>
    <w:p>
      <w:pPr>
        <w:spacing w:after="120" w:line="240" w:lineRule="auto"/>
        <w:jc w:val="center"/>
      </w:pPr>
      <w:r>
        <w:rPr>
          <w:rFonts w:ascii="Noto Sans CJK SC" w:hAnsi="Noto Sans CJK SC" w:eastAsia="Noto Sans CJK SC"/>
          <w:b w:val="0"/>
          <w:i/>
          <w:sz w:val="20"/>
        </w:rPr>
        <w:t>株式会社XENLOOK（XenLook Inc.）· 2026年8月 · Version 2026-08-07-ALL-r2</w:t>
      </w:r>
    </w:p>
    <w:p>
      <w:pPr>
        <w:spacing w:after="120" w:line="240" w:lineRule="auto"/>
        <w:jc w:val="center"/>
      </w:pPr>
      <w:r>
        <w:rPr>
          <w:rFonts w:ascii="Noto Sans CJK SC" w:hAnsi="Noto Sans CJK SC" w:eastAsia="Noto Sans CJK SC"/>
          <w:b w:val="0"/>
          <w:sz w:val="18"/>
        </w:rPr>
        <w:t>中文 · zh</w:t>
      </w:r>
    </w:p>
    <w:p/>
    <w:p>
      <w:pPr>
        <w:spacing w:after="120" w:line="240" w:lineRule="auto"/>
      </w:pPr>
      <w:r>
        <w:rPr>
          <w:rFonts w:ascii="Noto Sans CJK SC" w:hAnsi="Noto Sans CJK SC" w:eastAsia="Noto Sans CJK SC"/>
          <w:b w:val="0"/>
          <w:sz w:val="22"/>
        </w:rPr>
        <w:t>本白皮书的核心技术由三轴构成。(1)专利10件—课题、构成与效果。(2)著作权5件—产品与规范表达物登记。(3)信任与治理—在核心技术章内详述安全、溯源与外部框架。专利与商标为已申请、尚未注册。不公开权利要求全文。C2PA Trust List与Generator处于审查中。ASB仅作概念表述。</w:t>
      </w:r>
    </w:p>
    <w:p>
      <w:pPr>
        <w:pStyle w:val="Heading1"/>
      </w:pPr>
      <w:r>
        <w:rPr>
          <w:rFonts w:ascii="Noto Sans CJK SC" w:hAnsi="Noto Sans CJK SC" w:eastAsia="Noto Sans CJK SC"/>
          <w:b/>
          <w:sz w:val="28"/>
        </w:rPr>
        <w:t>1. 摘要</w:t>
      </w:r>
    </w:p>
    <w:p>
      <w:pPr>
        <w:spacing w:after="120" w:line="240" w:lineRule="auto"/>
      </w:pPr>
      <w:r>
        <w:rPr>
          <w:rFonts w:ascii="Noto Sans CJK SC" w:hAnsi="Noto Sans CJK SC" w:eastAsia="Noto Sans CJK SC"/>
          <w:b w:val="0"/>
          <w:sz w:val="22"/>
        </w:rPr>
        <w:t>XenLook是全球AI伙伴与创作平台。以韩国为首个测试市场，将伙伴对话、多智能体、带溯源媒体与未成年人保护纳入同一运营体系。</w:t>
      </w:r>
    </w:p>
    <w:p>
      <w:pPr>
        <w:spacing w:after="120" w:line="240" w:lineRule="auto"/>
      </w:pPr>
      <w:r>
        <w:rPr>
          <w:rFonts w:ascii="Noto Sans CJK SC" w:hAnsi="Noto Sans CJK SC" w:eastAsia="Noto Sans CJK SC"/>
          <w:b w:val="0"/>
          <w:sz w:val="22"/>
        </w:rPr>
        <w:t>核心技术不以流水线口号代替。发明（专利）、表达（著作权）、运营信任（治理）构成本文主体。</w:t>
      </w:r>
    </w:p>
    <w:p>
      <w:pPr>
        <w:pStyle w:val="ListBullet"/>
      </w:pPr>
      <w:r>
        <w:rPr>
          <w:rFonts w:ascii="Noto Sans CJK SC" w:hAnsi="Noto Sans CJK SC" w:eastAsia="Noto Sans CJK SC"/>
          <w:b w:val="0"/>
          <w:sz w:val="22"/>
        </w:rPr>
        <w:t>核心A — 专利10件（KIPO已申请 · 审查请求前 · 未注册）</w:t>
      </w:r>
    </w:p>
    <w:p>
      <w:pPr>
        <w:pStyle w:val="ListBullet"/>
      </w:pPr>
      <w:r>
        <w:rPr>
          <w:rFonts w:ascii="Noto Sans CJK SC" w:hAnsi="Noto Sans CJK SC" w:eastAsia="Noto Sans CJK SC"/>
          <w:b w:val="0"/>
          <w:sz w:val="22"/>
        </w:rPr>
        <w:t>核心B — 著作权5件（韩国著作权委员会 · 登记证核实）</w:t>
      </w:r>
    </w:p>
    <w:p>
      <w:pPr>
        <w:pStyle w:val="ListBullet"/>
      </w:pPr>
      <w:r>
        <w:rPr>
          <w:rFonts w:ascii="Noto Sans CJK SC" w:hAnsi="Noto Sans CJK SC" w:eastAsia="Noto Sans CJK SC"/>
          <w:b w:val="0"/>
          <w:sz w:val="22"/>
        </w:rPr>
        <w:t>核心C — 信任与治理（状态定义 · 框架详情 · 位于核心章）</w:t>
      </w:r>
    </w:p>
    <w:p>
      <w:pPr>
        <w:pStyle w:val="ListBullet"/>
      </w:pPr>
      <w:r>
        <w:rPr>
          <w:rFonts w:ascii="Noto Sans CJK SC" w:hAnsi="Noto Sans CJK SC" w:eastAsia="Noto Sans CJK SC"/>
          <w:b w:val="0"/>
          <w:sz w:val="22"/>
        </w:rPr>
        <w:t>商标 — XENLOOK 字标申请 40-2026-0119385（已申请·未注册）</w:t>
      </w:r>
    </w:p>
    <w:p>
      <w:pPr>
        <w:pStyle w:val="ListBullet"/>
      </w:pPr>
      <w:r>
        <w:rPr>
          <w:rFonts w:ascii="Noto Sans CJK SC" w:hAnsi="Noto Sans CJK SC" w:eastAsia="Noto Sans CJK SC"/>
          <w:b w:val="0"/>
          <w:sz w:val="22"/>
        </w:rPr>
        <w:t>C2PA CA领土：韩国→日本（KR→JP）。不作全球CA主张。</w:t>
      </w:r>
    </w:p>
    <w:p>
      <w:pPr>
        <w:pStyle w:val="Heading1"/>
      </w:pPr>
      <w:r>
        <w:rPr>
          <w:rFonts w:ascii="Noto Sans CJK SC" w:hAnsi="Noto Sans CJK SC" w:eastAsia="Noto Sans CJK SC"/>
          <w:b/>
          <w:sz w:val="28"/>
        </w:rPr>
        <w:t>2. 引言 — 我们建造什么</w:t>
      </w:r>
    </w:p>
    <w:p>
      <w:pPr>
        <w:spacing w:after="120" w:line="240" w:lineRule="auto"/>
      </w:pPr>
      <w:r>
        <w:rPr>
          <w:rFonts w:ascii="Noto Sans CJK SC" w:hAnsi="Noto Sans CJK SC" w:eastAsia="Noto Sans CJK SC"/>
          <w:b w:val="0"/>
          <w:sz w:val="22"/>
        </w:rPr>
        <w:t>生成式AI的竞争维度不只是回复质量。人格一致性、每轮安全与成本追踪、内容溯源、未成年人政策，以及对外部信任框架的诚实披露，才是技术本体。</w:t>
      </w:r>
    </w:p>
    <w:p>
      <w:pPr>
        <w:spacing w:after="120" w:line="240" w:lineRule="auto"/>
      </w:pPr>
      <w:r>
        <w:rPr>
          <w:rFonts w:ascii="Noto Sans CJK SC" w:hAnsi="Noto Sans CJK SC" w:eastAsia="Noto Sans CJK SC"/>
          <w:b w:val="0"/>
          <w:sz w:val="22"/>
        </w:rPr>
        <w:t>XenLook以专利保护该本体，以著作权登记产品与宪章表达，并在核心技术章详述信任运营。</w:t>
      </w:r>
    </w:p>
    <w:p>
      <w:pPr>
        <w:pStyle w:val="Heading1"/>
      </w:pPr>
      <w:r>
        <w:rPr>
          <w:rFonts w:ascii="Noto Sans CJK SC" w:hAnsi="Noto Sans CJK SC" w:eastAsia="Noto Sans CJK SC"/>
          <w:b/>
          <w:sz w:val="28"/>
        </w:rPr>
        <w:t>3. 问题定义</w:t>
      </w:r>
    </w:p>
    <w:p>
      <w:pPr>
        <w:spacing w:after="120" w:line="240" w:lineRule="auto"/>
      </w:pPr>
      <w:r>
        <w:rPr>
          <w:rFonts w:ascii="Noto Sans CJK SC" w:hAnsi="Noto Sans CJK SC" w:eastAsia="Noto Sans CJK SC"/>
          <w:b w:val="0"/>
          <w:sz w:val="22"/>
        </w:rPr>
        <w:t>公开服务中反复出现的失败模式与三轴对应如下。</w:t>
      </w:r>
    </w:p>
    <w:p>
      <w:pPr>
        <w:pStyle w:val="ListBullet"/>
      </w:pPr>
      <w:r>
        <w:rPr>
          <w:rFonts w:ascii="Noto Sans CJK SC" w:hAnsi="Noto Sans CJK SC" w:eastAsia="Noto Sans CJK SC"/>
          <w:b w:val="0"/>
          <w:sz w:val="22"/>
        </w:rPr>
        <w:t>言语行为/多意图崩溃 → 专利04</w:t>
      </w:r>
    </w:p>
    <w:p>
      <w:pPr>
        <w:pStyle w:val="ListBullet"/>
      </w:pPr>
      <w:r>
        <w:rPr>
          <w:rFonts w:ascii="Noto Sans CJK SC" w:hAnsi="Noto Sans CJK SC" w:eastAsia="Noto Sans CJK SC"/>
          <w:b w:val="0"/>
          <w:sz w:val="22"/>
        </w:rPr>
        <w:t>身份稀释/语境崩溃 → 专利05 · 著作权（On·宪法）</w:t>
      </w:r>
    </w:p>
    <w:p>
      <w:pPr>
        <w:pStyle w:val="ListBullet"/>
      </w:pPr>
      <w:r>
        <w:rPr>
          <w:rFonts w:ascii="Noto Sans CJK SC" w:hAnsi="Noto Sans CJK SC" w:eastAsia="Noto Sans CJK SC"/>
          <w:b w:val="0"/>
          <w:sz w:val="22"/>
        </w:rPr>
        <w:t>智能体生命周期空白 → 专利06</w:t>
      </w:r>
    </w:p>
    <w:p>
      <w:pPr>
        <w:pStyle w:val="ListBullet"/>
      </w:pPr>
      <w:r>
        <w:rPr>
          <w:rFonts w:ascii="Noto Sans CJK SC" w:hAnsi="Noto Sans CJK SC" w:eastAsia="Noto Sans CJK SC"/>
          <w:b w:val="0"/>
          <w:sz w:val="22"/>
        </w:rPr>
        <w:t>媒体通道不一致/溯源缺失 → 专利07·08 · 著作权（C2PA门户）</w:t>
      </w:r>
    </w:p>
    <w:p>
      <w:pPr>
        <w:pStyle w:val="ListBullet"/>
      </w:pPr>
      <w:r>
        <w:rPr>
          <w:rFonts w:ascii="Noto Sans CJK SC" w:hAnsi="Noto Sans CJK SC" w:eastAsia="Noto Sans CJK SC"/>
          <w:b w:val="0"/>
          <w:sz w:val="22"/>
        </w:rPr>
        <w:t>全引擎调用/事后安全/审计断裂 → 专利01·09</w:t>
      </w:r>
    </w:p>
    <w:p>
      <w:pPr>
        <w:pStyle w:val="ListBullet"/>
      </w:pPr>
      <w:r>
        <w:rPr>
          <w:rFonts w:ascii="Noto Sans CJK SC" w:hAnsi="Noto Sans CJK SC" w:eastAsia="Noto Sans CJK SC"/>
          <w:b w:val="0"/>
          <w:sz w:val="22"/>
        </w:rPr>
        <w:t>未成年人surface泄漏 → 专利10</w:t>
      </w:r>
    </w:p>
    <w:p>
      <w:pPr>
        <w:pStyle w:val="ListBullet"/>
      </w:pPr>
      <w:r>
        <w:rPr>
          <w:rFonts w:ascii="Noto Sans CJK SC" w:hAnsi="Noto Sans CJK SC" w:eastAsia="Noto Sans CJK SC"/>
          <w:b w:val="0"/>
          <w:sz w:val="22"/>
        </w:rPr>
        <w:t>校园/工作室追踪空白 → 专利02·03</w:t>
      </w:r>
    </w:p>
    <w:p>
      <w:pPr>
        <w:pStyle w:val="ListBullet"/>
      </w:pPr>
      <w:r>
        <w:rPr>
          <w:rFonts w:ascii="Noto Sans CJK SC" w:hAnsi="Noto Sans CJK SC" w:eastAsia="Noto Sans CJK SC"/>
          <w:b w:val="0"/>
          <w:sz w:val="22"/>
        </w:rPr>
        <w:t>夸大认证/状态混淆 → 核心C状态定义与详表</w:t>
      </w:r>
    </w:p>
    <w:p>
      <w:pPr>
        <w:pStyle w:val="Heading1"/>
      </w:pPr>
      <w:r>
        <w:rPr>
          <w:rFonts w:ascii="Noto Sans CJK SC" w:hAnsi="Noto Sans CJK SC" w:eastAsia="Noto Sans CJK SC"/>
          <w:b/>
          <w:sz w:val="28"/>
        </w:rPr>
        <w:t>4. 核心技术</w:t>
      </w:r>
    </w:p>
    <w:p>
      <w:pPr>
        <w:spacing w:after="120" w:line="240" w:lineRule="auto"/>
      </w:pPr>
      <w:r>
        <w:rPr>
          <w:rFonts w:ascii="Noto Sans CJK SC" w:hAnsi="Noto Sans CJK SC" w:eastAsia="Noto Sans CJK SC"/>
          <w:b w:val="0"/>
          <w:sz w:val="22"/>
        </w:rPr>
        <w:t>核心技术由专利(A)、著作权(B)、信任治理(C)替代。本章不以架构口号填充。</w:t>
      </w:r>
    </w:p>
    <w:p>
      <w:pPr>
        <w:pStyle w:val="Heading1"/>
      </w:pPr>
      <w:r>
        <w:rPr>
          <w:rFonts w:ascii="Noto Sans CJK SC" w:hAnsi="Noto Sans CJK SC" w:eastAsia="Noto Sans CJK SC"/>
          <w:b/>
          <w:sz w:val="28"/>
        </w:rPr>
        <w:t>4.A 专利 — 方法/系统发明10件</w:t>
      </w:r>
    </w:p>
    <w:p>
      <w:pPr>
        <w:spacing w:after="120" w:line="240" w:lineRule="auto"/>
      </w:pPr>
      <w:r>
        <w:rPr>
          <w:rFonts w:ascii="Noto Sans CJK SC" w:hAnsi="Noto Sans CJK SC" w:eastAsia="Noto Sans CJK SC"/>
          <w:b w:val="0"/>
          <w:sz w:val="22"/>
        </w:rPr>
        <w:t>状态：国内已申请 · 审查请求前 · 未注册。申请人：XenLook Inc.。以下为各说明书领域/课题/构成/效果的白皮书重构，不替代权利要求全文。</w:t>
      </w:r>
    </w:p>
    <w:p>
      <w:pPr>
        <w:pStyle w:val="Heading1"/>
      </w:pPr>
      <w:r>
        <w:rPr>
          <w:rFonts w:ascii="Noto Sans CJK SC" w:hAnsi="Noto Sans CJK SC" w:eastAsia="Noto Sans CJK SC"/>
          <w:b/>
          <w:sz w:val="28"/>
        </w:rPr>
        <w:t>4.A.1 第1号 — 外部AI请求多阶段验证与公开审计系统</w:t>
      </w:r>
    </w:p>
    <w:p>
      <w:pPr>
        <w:spacing w:after="120" w:line="240" w:lineRule="auto"/>
      </w:pPr>
      <w:r>
        <w:rPr>
          <w:rFonts w:ascii="Noto Sans CJK SC" w:hAnsi="Noto Sans CJK SC" w:eastAsia="Noto Sans CJK SC"/>
          <w:b w:val="0"/>
          <w:sz w:val="22"/>
        </w:rPr>
        <w:t>申请号 10-2026-0100026.</w:t>
      </w:r>
    </w:p>
    <w:p>
      <w:pPr>
        <w:spacing w:after="120" w:line="240" w:lineRule="auto"/>
      </w:pPr>
      <w:r>
        <w:rPr>
          <w:rFonts w:ascii="Noto Sans CJK SC" w:hAnsi="Noto Sans CJK SC" w:eastAsia="Noto Sans CJK SC"/>
          <w:b w:val="0"/>
          <w:sz w:val="22"/>
        </w:rPr>
        <w:t>技术领域：外部AI请求、多引擎编排、运营验证、可公开审计状态。</w:t>
      </w:r>
    </w:p>
    <w:p>
      <w:pPr>
        <w:spacing w:after="120" w:line="240" w:lineRule="auto"/>
      </w:pPr>
      <w:r>
        <w:rPr>
          <w:rFonts w:ascii="Noto Sans CJK SC" w:hAnsi="Noto Sans CJK SC" w:eastAsia="Noto Sans CJK SC"/>
          <w:b w:val="0"/>
          <w:sz w:val="22"/>
        </w:rPr>
        <w:t>课题： If create/chat/create/deploy paths lack state transitions and audit records, policy breaches and missing evidence follow.</w:t>
      </w:r>
    </w:p>
    <w:p>
      <w:pPr>
        <w:spacing w:after="120" w:line="240" w:lineRule="auto"/>
      </w:pPr>
      <w:r>
        <w:rPr>
          <w:rFonts w:ascii="Noto Sans CJK SC" w:hAnsi="Noto Sans CJK SC" w:eastAsia="Noto Sans CJK SC"/>
          <w:b w:val="0"/>
          <w:sz w:val="22"/>
        </w:rPr>
        <w:t>构成： Input · state collection · orchestration · engine execution · policy gate · audit · publish/deploy. Axes: Gate Filter · Priority Queue · Integrity Check · Curation · Public Display · Audit Log · Safety Score.</w:t>
      </w:r>
    </w:p>
    <w:p>
      <w:pPr>
        <w:spacing w:after="120" w:line="240" w:lineRule="auto"/>
      </w:pPr>
      <w:r>
        <w:rPr>
          <w:rFonts w:ascii="Noto Sans CJK SC" w:hAnsi="Noto Sans CJK SC" w:eastAsia="Noto Sans CJK SC"/>
          <w:b w:val="0"/>
          <w:sz w:val="22"/>
        </w:rPr>
        <w:t>效果： Structures stability, explainability, cost control, pre-publish review, and provenance versus a single LLM call.</w:t>
      </w:r>
    </w:p>
    <w:p>
      <w:pPr>
        <w:pStyle w:val="Heading1"/>
      </w:pPr>
      <w:r>
        <w:rPr>
          <w:rFonts w:ascii="Noto Sans CJK SC" w:hAnsi="Noto Sans CJK SC" w:eastAsia="Noto Sans CJK SC"/>
          <w:b/>
          <w:sz w:val="28"/>
        </w:rPr>
        <w:t>4.A.2 第2号 — AI智能体校园学习·作业·讨论系统</w:t>
      </w:r>
    </w:p>
    <w:p>
      <w:pPr>
        <w:spacing w:after="120" w:line="240" w:lineRule="auto"/>
      </w:pPr>
      <w:r>
        <w:rPr>
          <w:rFonts w:ascii="Noto Sans CJK SC" w:hAnsi="Noto Sans CJK SC" w:eastAsia="Noto Sans CJK SC"/>
          <w:b w:val="0"/>
          <w:sz w:val="22"/>
        </w:rPr>
        <w:t>申请号 10-2026-0100053.</w:t>
      </w:r>
    </w:p>
    <w:p>
      <w:pPr>
        <w:spacing w:after="120" w:line="240" w:lineRule="auto"/>
      </w:pPr>
      <w:r>
        <w:rPr>
          <w:rFonts w:ascii="Noto Sans CJK SC" w:hAnsi="Noto Sans CJK SC" w:eastAsia="Noto Sans CJK SC"/>
          <w:b w:val="0"/>
          <w:sz w:val="22"/>
        </w:rPr>
        <w:t>课题： Learning/assignments/debate scatter into one-off prompts and lose growth tracking, public quality, and audit linkage.</w:t>
      </w:r>
    </w:p>
    <w:p>
      <w:pPr>
        <w:spacing w:after="120" w:line="240" w:lineRule="auto"/>
      </w:pPr>
      <w:r>
        <w:rPr>
          <w:rFonts w:ascii="Noto Sans CJK SC" w:hAnsi="Noto Sans CJK SC" w:eastAsia="Noto Sans CJK SC"/>
          <w:b w:val="0"/>
          <w:sz w:val="22"/>
        </w:rPr>
        <w:t>构成： Topic Intake → Agent Assignment → Task Run → Debate → Score → Growth → Atelier link.</w:t>
      </w:r>
    </w:p>
    <w:p>
      <w:pPr>
        <w:spacing w:after="120" w:line="240" w:lineRule="auto"/>
      </w:pPr>
      <w:r>
        <w:rPr>
          <w:rFonts w:ascii="Noto Sans CJK SC" w:hAnsi="Noto Sans CJK SC" w:eastAsia="Noto Sans CJK SC"/>
          <w:b w:val="0"/>
          <w:sz w:val="22"/>
        </w:rPr>
        <w:t>效果： Keeps learning/debate/growth as reproducible units tied to pre-publish review.</w:t>
      </w:r>
    </w:p>
    <w:p>
      <w:pPr>
        <w:pStyle w:val="Heading1"/>
      </w:pPr>
      <w:r>
        <w:rPr>
          <w:rFonts w:ascii="Noto Sans CJK SC" w:hAnsi="Noto Sans CJK SC" w:eastAsia="Noto Sans CJK SC"/>
          <w:b/>
          <w:sz w:val="28"/>
        </w:rPr>
        <w:t>4.A.3 第3号 — AI多创作者创作工作室系统</w:t>
      </w:r>
    </w:p>
    <w:p>
      <w:pPr>
        <w:spacing w:after="120" w:line="240" w:lineRule="auto"/>
      </w:pPr>
      <w:r>
        <w:rPr>
          <w:rFonts w:ascii="Noto Sans CJK SC" w:hAnsi="Noto Sans CJK SC" w:eastAsia="Noto Sans CJK SC"/>
          <w:b w:val="0"/>
          <w:sz w:val="22"/>
        </w:rPr>
        <w:t>申请号 10-2026-0100113.</w:t>
      </w:r>
    </w:p>
    <w:p>
      <w:pPr>
        <w:spacing w:after="120" w:line="240" w:lineRule="auto"/>
      </w:pPr>
      <w:r>
        <w:rPr>
          <w:rFonts w:ascii="Noto Sans CJK SC" w:hAnsi="Noto Sans CJK SC" w:eastAsia="Noto Sans CJK SC"/>
          <w:b w:val="0"/>
          <w:sz w:val="22"/>
        </w:rPr>
        <w:t>课题： Collaborative creation separated from engines/review/exhibition collapses canon and provenance.</w:t>
      </w:r>
    </w:p>
    <w:p>
      <w:pPr>
        <w:spacing w:after="120" w:line="240" w:lineRule="auto"/>
      </w:pPr>
      <w:r>
        <w:rPr>
          <w:rFonts w:ascii="Noto Sans CJK SC" w:hAnsi="Noto Sans CJK SC" w:eastAsia="Noto Sans CJK SC"/>
          <w:b w:val="0"/>
          <w:sz w:val="22"/>
        </w:rPr>
        <w:t>构成： Project Intake → Team Formation → LIFE Pipeline → Canon Check → Exhibition → Review.</w:t>
      </w:r>
    </w:p>
    <w:p>
      <w:pPr>
        <w:spacing w:after="120" w:line="240" w:lineRule="auto"/>
      </w:pPr>
      <w:r>
        <w:rPr>
          <w:rFonts w:ascii="Noto Sans CJK SC" w:hAnsi="Noto Sans CJK SC" w:eastAsia="Noto Sans CJK SC"/>
          <w:b w:val="0"/>
          <w:sz w:val="22"/>
        </w:rPr>
        <w:t>效果： Operates collaboration, review, and exhibition as traceable state.</w:t>
      </w:r>
    </w:p>
    <w:p>
      <w:pPr>
        <w:pStyle w:val="Heading1"/>
      </w:pPr>
      <w:r>
        <w:rPr>
          <w:rFonts w:ascii="Noto Sans CJK SC" w:hAnsi="Noto Sans CJK SC" w:eastAsia="Noto Sans CJK SC"/>
          <w:b/>
          <w:sz w:val="28"/>
        </w:rPr>
        <w:t>4.A.4 第4号 — 基于言语行为信号的多意图识别与语境自适应对话处理</w:t>
      </w:r>
    </w:p>
    <w:p>
      <w:pPr>
        <w:spacing w:after="120" w:line="240" w:lineRule="auto"/>
      </w:pPr>
      <w:r>
        <w:rPr>
          <w:rFonts w:ascii="Noto Sans CJK SC" w:hAnsi="Noto Sans CJK SC" w:eastAsia="Noto Sans CJK SC"/>
          <w:b w:val="0"/>
          <w:sz w:val="22"/>
        </w:rPr>
        <w:t>申请号 10-2026-0117901.</w:t>
      </w:r>
    </w:p>
    <w:p>
      <w:pPr>
        <w:spacing w:after="120" w:line="240" w:lineRule="auto"/>
      </w:pPr>
      <w:r>
        <w:rPr>
          <w:rFonts w:ascii="Noto Sans CJK SC" w:hAnsi="Noto Sans CJK SC" w:eastAsia="Noto Sans CJK SC"/>
          <w:b w:val="0"/>
          <w:sz w:val="22"/>
        </w:rPr>
        <w:t>课题： Single-label intent loses stacked intents; ignoring speech acts drives over-empathy.</w:t>
      </w:r>
    </w:p>
    <w:p>
      <w:pPr>
        <w:spacing w:after="120" w:line="240" w:lineRule="auto"/>
      </w:pPr>
      <w:r>
        <w:rPr>
          <w:rFonts w:ascii="Noto Sans CJK SC" w:hAnsi="Noto Sans CJK SC" w:eastAsia="Noto Sans CJK SC"/>
          <w:b w:val="0"/>
          <w:sz w:val="22"/>
        </w:rPr>
        <w:t>构成： Intent vector P · speech-act vector S · NunchiContext · prompt injection · margin-M branching · EMA accumulation.</w:t>
      </w:r>
    </w:p>
    <w:p>
      <w:pPr>
        <w:spacing w:after="120" w:line="240" w:lineRule="auto"/>
      </w:pPr>
      <w:r>
        <w:rPr>
          <w:rFonts w:ascii="Noto Sans CJK SC" w:hAnsi="Noto Sans CJK SC" w:eastAsia="Noto Sans CJK SC"/>
          <w:b w:val="0"/>
          <w:sz w:val="22"/>
        </w:rPr>
        <w:t>效果： Preserves multi-intent, strengthens indirect-emotion capture, clarifies under uncertainty, tracks intent drift.</w:t>
      </w:r>
    </w:p>
    <w:p>
      <w:pPr>
        <w:pStyle w:val="Heading1"/>
      </w:pPr>
      <w:r>
        <w:rPr>
          <w:rFonts w:ascii="Noto Sans CJK SC" w:hAnsi="Noto Sans CJK SC" w:eastAsia="Noto Sans CJK SC"/>
          <w:b/>
          <w:sz w:val="28"/>
        </w:rPr>
        <w:t>4.A.5 第5号 — 多源语境收集·组装·注入</w:t>
      </w:r>
    </w:p>
    <w:p>
      <w:pPr>
        <w:spacing w:after="120" w:line="240" w:lineRule="auto"/>
      </w:pPr>
      <w:r>
        <w:rPr>
          <w:rFonts w:ascii="Noto Sans CJK SC" w:hAnsi="Noto Sans CJK SC" w:eastAsia="Noto Sans CJK SC"/>
          <w:b w:val="0"/>
          <w:sz w:val="22"/>
        </w:rPr>
        <w:t>申请号 10-2026-0117903.</w:t>
      </w:r>
    </w:p>
    <w:p>
      <w:pPr>
        <w:spacing w:after="120" w:line="240" w:lineRule="auto"/>
      </w:pPr>
      <w:r>
        <w:rPr>
          <w:rFonts w:ascii="Noto Sans CJK SC" w:hAnsi="Noto Sans CJK SC" w:eastAsia="Noto Sans CJK SC"/>
          <w:b w:val="0"/>
          <w:sz w:val="22"/>
        </w:rPr>
        <w:t>课题： Short-term chat overwrites SOUL/IDENTITY/chronicle; each app scope needs a different context pack.</w:t>
      </w:r>
    </w:p>
    <w:p>
      <w:pPr>
        <w:spacing w:after="120" w:line="240" w:lineRule="auto"/>
      </w:pPr>
      <w:r>
        <w:rPr>
          <w:rFonts w:ascii="Noto Sans CJK SC" w:hAnsi="Noto Sans CJK SC" w:eastAsia="Noto Sans CJK SC"/>
          <w:b w:val="0"/>
          <w:sz w:val="22"/>
        </w:rPr>
        <w:t>构成： Parallel multi-source collect → token budget → app-scope branch → prompt-pack inject → PII-free fingerprint.</w:t>
      </w:r>
    </w:p>
    <w:p>
      <w:pPr>
        <w:spacing w:after="120" w:line="240" w:lineRule="auto"/>
      </w:pPr>
      <w:r>
        <w:rPr>
          <w:rFonts w:ascii="Noto Sans CJK SC" w:hAnsi="Noto Sans CJK SC" w:eastAsia="Noto Sans CJK SC"/>
          <w:b w:val="0"/>
          <w:sz w:val="22"/>
        </w:rPr>
        <w:t>效果： Identity retention, per-scope budgets, quality analysis with non-storing PII fingerprints.</w:t>
      </w:r>
    </w:p>
    <w:p>
      <w:pPr>
        <w:pStyle w:val="Heading1"/>
      </w:pPr>
      <w:r>
        <w:rPr>
          <w:rFonts w:ascii="Noto Sans CJK SC" w:hAnsi="Noto Sans CJK SC" w:eastAsia="Noto Sans CJK SC"/>
          <w:b/>
          <w:sz w:val="28"/>
        </w:rPr>
        <w:t>4.A.6 第6号 — 智能体生命周期治理</w:t>
      </w:r>
    </w:p>
    <w:p>
      <w:pPr>
        <w:spacing w:after="120" w:line="240" w:lineRule="auto"/>
      </w:pPr>
      <w:r>
        <w:rPr>
          <w:rFonts w:ascii="Noto Sans CJK SC" w:hAnsi="Noto Sans CJK SC" w:eastAsia="Noto Sans CJK SC"/>
          <w:b w:val="0"/>
          <w:sz w:val="22"/>
        </w:rPr>
        <w:t>申请号 10-2026-0117904.</w:t>
      </w:r>
    </w:p>
    <w:p>
      <w:pPr>
        <w:spacing w:after="120" w:line="240" w:lineRule="auto"/>
      </w:pPr>
      <w:r>
        <w:rPr>
          <w:rFonts w:ascii="Noto Sans CJK SC" w:hAnsi="Noto Sans CJK SC" w:eastAsia="Noto Sans CJK SC"/>
          <w:b w:val="0"/>
          <w:sz w:val="22"/>
        </w:rPr>
        <w:t>课题： Delete-versus-unlimited-publish binaries destroy IP/relationships or leave unsafe agents live.</w:t>
      </w:r>
    </w:p>
    <w:p>
      <w:pPr>
        <w:spacing w:after="120" w:line="240" w:lineRule="auto"/>
      </w:pPr>
      <w:r>
        <w:rPr>
          <w:rFonts w:ascii="Noto Sans CJK SC" w:hAnsi="Noto Sans CJK SC" w:eastAsia="Noto Sans CJK SC"/>
          <w:b w:val="0"/>
          <w:sz w:val="22"/>
        </w:rPr>
        <w:t>构成： birth·growth·maturity·decline·extinction · scores/violations · gates · hold/recover · header propagation.</w:t>
      </w:r>
    </w:p>
    <w:p>
      <w:pPr>
        <w:spacing w:after="120" w:line="240" w:lineRule="auto"/>
      </w:pPr>
      <w:r>
        <w:rPr>
          <w:rFonts w:ascii="Noto Sans CJK SC" w:hAnsi="Noto Sans CJK SC" w:eastAsia="Noto Sans CJK SC"/>
          <w:b w:val="0"/>
          <w:sz w:val="22"/>
        </w:rPr>
        <w:t>效果： Isolate risk while preserving IP/relationships; Chronicle promotion via growth and public-quality gates.</w:t>
      </w:r>
    </w:p>
    <w:p>
      <w:pPr>
        <w:pStyle w:val="Heading1"/>
      </w:pPr>
      <w:r>
        <w:rPr>
          <w:rFonts w:ascii="Noto Sans CJK SC" w:hAnsi="Noto Sans CJK SC" w:eastAsia="Noto Sans CJK SC"/>
          <w:b/>
          <w:sz w:val="28"/>
        </w:rPr>
        <w:t>4.A.7 第7号 — AR可穿戴设备上AI智能体行为的分层内容溯源认证</w:t>
      </w:r>
    </w:p>
    <w:p>
      <w:pPr>
        <w:spacing w:after="120" w:line="240" w:lineRule="auto"/>
      </w:pPr>
      <w:r>
        <w:rPr>
          <w:rFonts w:ascii="Noto Sans CJK SC" w:hAnsi="Noto Sans CJK SC" w:eastAsia="Noto Sans CJK SC"/>
          <w:b w:val="0"/>
          <w:sz w:val="22"/>
        </w:rPr>
        <w:t>申请号 10-2026-0121013.</w:t>
      </w:r>
    </w:p>
    <w:p>
      <w:pPr>
        <w:spacing w:after="120" w:line="240" w:lineRule="auto"/>
      </w:pPr>
      <w:r>
        <w:rPr>
          <w:rFonts w:ascii="Noto Sans CJK SC" w:hAnsi="Noto Sans CJK SC" w:eastAsia="Noto Sans CJK SC"/>
          <w:b w:val="0"/>
          <w:sz w:val="22"/>
        </w:rPr>
        <w:t>课题： A single capture-time signature does not separate inference (M2) and display (M3) provenance.</w:t>
      </w:r>
    </w:p>
    <w:p>
      <w:pPr>
        <w:spacing w:after="120" w:line="240" w:lineRule="auto"/>
      </w:pPr>
      <w:r>
        <w:rPr>
          <w:rFonts w:ascii="Noto Sans CJK SC" w:hAnsi="Noto Sans CJK SC" w:eastAsia="Noto Sans CJK SC"/>
          <w:b w:val="0"/>
          <w:sz w:val="22"/>
        </w:rPr>
        <w:t>构成： M1 capture → M2 agent action (c2pa.ingredient.v3→M1) → M3 overlay (→M1·M2) · COSE_Sign1·X.509·hash offline verify.</w:t>
      </w:r>
    </w:p>
    <w:p>
      <w:pPr>
        <w:spacing w:after="120" w:line="240" w:lineRule="auto"/>
      </w:pPr>
      <w:r>
        <w:rPr>
          <w:rFonts w:ascii="Noto Sans CJK SC" w:hAnsi="Noto Sans CJK SC" w:eastAsia="Noto Sans CJK SC"/>
          <w:b w:val="0"/>
          <w:sz w:val="22"/>
        </w:rPr>
        <w:t>效果： Offline verify, per-stage tamper detection, multi-agent trust chain, capture–composite loop.</w:t>
      </w:r>
    </w:p>
    <w:p>
      <w:pPr>
        <w:pStyle w:val="Heading1"/>
      </w:pPr>
      <w:r>
        <w:rPr>
          <w:rFonts w:ascii="Noto Sans CJK SC" w:hAnsi="Noto Sans CJK SC" w:eastAsia="Noto Sans CJK SC"/>
          <w:b/>
          <w:sz w:val="28"/>
        </w:rPr>
        <w:t>4.A.8 第8号 — 基于SOUL·IDENTITY的三通道人格媒体生成与溯源记录</w:t>
      </w:r>
    </w:p>
    <w:p>
      <w:pPr>
        <w:spacing w:after="120" w:line="240" w:lineRule="auto"/>
      </w:pPr>
      <w:r>
        <w:rPr>
          <w:rFonts w:ascii="Noto Sans CJK SC" w:hAnsi="Noto Sans CJK SC" w:eastAsia="Noto Sans CJK SC"/>
          <w:b w:val="0"/>
          <w:sz w:val="22"/>
        </w:rPr>
        <w:t>申请号 10-2026-0121018.</w:t>
      </w:r>
    </w:p>
    <w:p>
      <w:pPr>
        <w:spacing w:after="120" w:line="240" w:lineRule="auto"/>
      </w:pPr>
      <w:r>
        <w:rPr>
          <w:rFonts w:ascii="Noto Sans CJK SC" w:hAnsi="Noto Sans CJK SC" w:eastAsia="Noto Sans CJK SC"/>
          <w:b w:val="0"/>
          <w:sz w:val="22"/>
        </w:rPr>
        <w:t>课题： Without persona pre-load, identity collapses across lanes; signing unverified outputs contaminates provenance.</w:t>
      </w:r>
    </w:p>
    <w:p>
      <w:pPr>
        <w:spacing w:after="120" w:line="240" w:lineRule="auto"/>
      </w:pPr>
      <w:r>
        <w:rPr>
          <w:rFonts w:ascii="Noto Sans CJK SC" w:hAnsi="Noto Sans CJK SC" w:eastAsia="Noto Sans CJK SC"/>
          <w:b w:val="0"/>
          <w:sz w:val="22"/>
        </w:rPr>
        <w:t>构成： Persona loader → lane router (same personaPackHash) → fidelity review (pass/requeue/block) → C2PA v2.4 only on pass.</w:t>
      </w:r>
    </w:p>
    <w:p>
      <w:pPr>
        <w:spacing w:after="120" w:line="240" w:lineRule="auto"/>
      </w:pPr>
      <w:r>
        <w:rPr>
          <w:rFonts w:ascii="Noto Sans CJK SC" w:hAnsi="Noto Sans CJK SC" w:eastAsia="Noto Sans CJK SC"/>
          <w:b w:val="0"/>
          <w:sz w:val="22"/>
        </w:rPr>
        <w:t>效果： Cross-lane identity, automatic requeue, provenance only on passed outputs.</w:t>
      </w:r>
    </w:p>
    <w:p>
      <w:pPr>
        <w:pStyle w:val="Heading1"/>
      </w:pPr>
      <w:r>
        <w:rPr>
          <w:rFonts w:ascii="Noto Sans CJK SC" w:hAnsi="Noto Sans CJK SC" w:eastAsia="Noto Sans CJK SC"/>
          <w:b/>
          <w:sz w:val="28"/>
        </w:rPr>
        <w:t>4.A.9 第9号 — 一对一对话轮次引擎注册表阶段门控·未调用候选追踪·LLM前安全阻断</w:t>
      </w:r>
    </w:p>
    <w:p>
      <w:pPr>
        <w:spacing w:after="120" w:line="240" w:lineRule="auto"/>
      </w:pPr>
      <w:r>
        <w:rPr>
          <w:rFonts w:ascii="Noto Sans CJK SC" w:hAnsi="Noto Sans CJK SC" w:eastAsia="Noto Sans CJK SC"/>
          <w:b w:val="0"/>
          <w:sz w:val="22"/>
        </w:rPr>
        <w:t>申请号 10-2026-0123982.</w:t>
      </w:r>
    </w:p>
    <w:p>
      <w:pPr>
        <w:spacing w:after="120" w:line="240" w:lineRule="auto"/>
      </w:pPr>
      <w:r>
        <w:rPr>
          <w:rFonts w:ascii="Noto Sans CJK SC" w:hAnsi="Noto Sans CJK SC" w:eastAsia="Noto Sans CJK SC"/>
          <w:b w:val="0"/>
          <w:sz w:val="22"/>
        </w:rPr>
        <w:t>课题： All-engine call cost, no uncalled-engine traces, wasteful post-hoc safety, fragmented logs.</w:t>
      </w:r>
    </w:p>
    <w:p>
      <w:pPr>
        <w:spacing w:after="120" w:line="240" w:lineRule="auto"/>
      </w:pPr>
      <w:r>
        <w:rPr>
          <w:rFonts w:ascii="Noto Sans CJK SC" w:hAnsi="Noto Sans CJK SC" w:eastAsia="Noto Sans CJK SC"/>
          <w:b w:val="0"/>
          <w:sz w:val="22"/>
        </w:rPr>
        <w:t>构成： Per-turn correlation ID · phase gate · candidate-only cost-0 traces · pre-LLM safety records unsent-token estimates · no downstream LLM.</w:t>
      </w:r>
    </w:p>
    <w:p>
      <w:pPr>
        <w:spacing w:after="120" w:line="240" w:lineRule="auto"/>
      </w:pPr>
      <w:r>
        <w:rPr>
          <w:rFonts w:ascii="Noto Sans CJK SC" w:hAnsi="Noto Sans CJK SC" w:eastAsia="Noto Sans CJK SC"/>
          <w:b w:val="0"/>
          <w:sz w:val="22"/>
        </w:rPr>
        <w:t>效果： Reconstruct call/skip/block under one correlation ID. Spec metrics are applicant self-measurement, not third-party grades.</w:t>
      </w:r>
    </w:p>
    <w:p>
      <w:pPr>
        <w:pStyle w:val="Heading1"/>
      </w:pPr>
      <w:r>
        <w:rPr>
          <w:rFonts w:ascii="Noto Sans CJK SC" w:hAnsi="Noto Sans CJK SC" w:eastAsia="Noto Sans CJK SC"/>
          <w:b/>
          <w:sz w:val="28"/>
        </w:rPr>
        <w:t>4.A.10 第10号 — 未成年人多服务面预功能门控与审计追踪</w:t>
      </w:r>
    </w:p>
    <w:p>
      <w:pPr>
        <w:spacing w:after="120" w:line="240" w:lineRule="auto"/>
      </w:pPr>
      <w:r>
        <w:rPr>
          <w:rFonts w:ascii="Noto Sans CJK SC" w:hAnsi="Noto Sans CJK SC" w:eastAsia="Noto Sans CJK SC"/>
          <w:b w:val="0"/>
          <w:sz w:val="22"/>
        </w:rPr>
        <w:t>申请号 10-2026-0124000.</w:t>
      </w:r>
    </w:p>
    <w:p>
      <w:pPr>
        <w:spacing w:after="120" w:line="240" w:lineRule="auto"/>
      </w:pPr>
      <w:r>
        <w:rPr>
          <w:rFonts w:ascii="Noto Sans CJK SC" w:hAnsi="Noto Sans CJK SC" w:eastAsia="Noto Sans CJK SC"/>
          <w:b w:val="0"/>
          <w:sz w:val="22"/>
        </w:rPr>
        <w:t>课题： Cross-surface leak, UI-only blocks that still call APIs, inconsistent minor determination, mutable logs.</w:t>
      </w:r>
    </w:p>
    <w:p>
      <w:pPr>
        <w:spacing w:after="120" w:line="240" w:lineRule="auto"/>
      </w:pPr>
      <w:r>
        <w:rPr>
          <w:rFonts w:ascii="Noto Sans CJK SC" w:hAnsi="Noto Sans CJK SC" w:eastAsia="Noto Sans CJK SC"/>
          <w:b w:val="0"/>
          <w:sz w:val="22"/>
        </w:rPr>
        <w:t>构成： Single minor profile · per-API-path surface pre-eval · on block no downstream call · audit reason·surface·correlation·candidate-only.</w:t>
      </w:r>
    </w:p>
    <w:p>
      <w:pPr>
        <w:spacing w:after="120" w:line="240" w:lineRule="auto"/>
      </w:pPr>
      <w:r>
        <w:rPr>
          <w:rFonts w:ascii="Noto Sans CJK SC" w:hAnsi="Noto Sans CJK SC" w:eastAsia="Noto Sans CJK SC"/>
          <w:b w:val="0"/>
          <w:sz w:val="22"/>
        </w:rPr>
        <w:t>效果： Reduces leak and cosmetic blocks; preserves pre-block evidence.</w:t>
      </w:r>
    </w:p>
    <w:p>
      <w:pPr>
        <w:pStyle w:val="Heading1"/>
      </w:pPr>
      <w:r>
        <w:rPr>
          <w:rFonts w:ascii="Noto Sans CJK SC" w:hAnsi="Noto Sans CJK SC" w:eastAsia="Noto Sans CJK SC"/>
          <w:b/>
          <w:sz w:val="28"/>
        </w:rPr>
        <w:t>4.B 著作权 — 产品/规范表达物5件</w:t>
      </w:r>
    </w:p>
    <w:p>
      <w:pPr>
        <w:spacing w:after="120" w:line="240" w:lineRule="auto"/>
      </w:pPr>
      <w:r>
        <w:rPr>
          <w:rFonts w:ascii="Noto Sans CJK SC" w:hAnsi="Noto Sans CJK SC" w:eastAsia="Noto Sans CJK SC"/>
          <w:b w:val="0"/>
          <w:sz w:val="22"/>
        </w:rPr>
        <w:t>著作权不是清单，而是核心技术的表达轴。专利保护方法与系统；著作权登记实现它们的程序与规范文档表达。机构：韩国著作权委员会 · 《著作权法》第53条。登记证PDF已核实。</w:t>
      </w:r>
    </w:p>
    <w:p>
      <w:pPr>
        <w:pStyle w:val="Heading1"/>
      </w:pPr>
      <w:r>
        <w:rPr>
          <w:rFonts w:ascii="Noto Sans CJK SC" w:hAnsi="Noto Sans CJK SC" w:eastAsia="Noto Sans CJK SC"/>
          <w:b/>
          <w:sz w:val="28"/>
        </w:rPr>
        <w:t>4.B.1 C-2026-036487 — 媒体内容溯源认证门户（程序）</w:t>
      </w:r>
    </w:p>
    <w:p>
      <w:pPr>
        <w:spacing w:after="120" w:line="240" w:lineRule="auto"/>
      </w:pPr>
      <w:r>
        <w:rPr>
          <w:rFonts w:ascii="Noto Sans CJK SC" w:hAnsi="Noto Sans CJK SC" w:eastAsia="Noto Sans CJK SC"/>
          <w:b w:val="0"/>
          <w:sz w:val="22"/>
        </w:rPr>
        <w:t>登记日 2026-07-23 · 著作权人 XenLook Inc.</w:t>
      </w:r>
    </w:p>
    <w:p>
      <w:pPr>
        <w:spacing w:after="120" w:line="240" w:lineRule="auto"/>
      </w:pPr>
      <w:r>
        <w:rPr>
          <w:rFonts w:ascii="Noto Sans CJK SC" w:hAnsi="Noto Sans CJK SC" w:eastAsia="Noto Sans CJK SC"/>
          <w:b w:val="0"/>
          <w:sz w:val="22"/>
        </w:rPr>
        <w:t>角色：C2PA嵌入/验证/符合性、Trust List/CA申请追踪UI、透明度仪表盘。专利07·08的公开表达。Trust List与Generator以审查中如实标示。</w:t>
      </w:r>
    </w:p>
    <w:p>
      <w:pPr>
        <w:pStyle w:val="Heading1"/>
      </w:pPr>
      <w:r>
        <w:rPr>
          <w:rFonts w:ascii="Noto Sans CJK SC" w:hAnsi="Noto Sans CJK SC" w:eastAsia="Noto Sans CJK SC"/>
          <w:b/>
          <w:sz w:val="28"/>
        </w:rPr>
        <w:t>4.B.2 C-2026-037388 — XenLook On（程序）</w:t>
      </w:r>
    </w:p>
    <w:p>
      <w:pPr>
        <w:spacing w:after="120" w:line="240" w:lineRule="auto"/>
      </w:pPr>
      <w:r>
        <w:rPr>
          <w:rFonts w:ascii="Noto Sans CJK SC" w:hAnsi="Noto Sans CJK SC" w:eastAsia="Noto Sans CJK SC"/>
          <w:b w:val="0"/>
          <w:sz w:val="22"/>
        </w:rPr>
        <w:t>登记日 2026-07-30 · XenLook On — 智能体对话·图库·资料。</w:t>
      </w:r>
    </w:p>
    <w:p>
      <w:pPr>
        <w:spacing w:after="120" w:line="240" w:lineRule="auto"/>
      </w:pPr>
      <w:r>
        <w:rPr>
          <w:rFonts w:ascii="Noto Sans CJK SC" w:hAnsi="Noto Sans CJK SC" w:eastAsia="Noto Sans CJK SC"/>
          <w:b w:val="0"/>
          <w:sz w:val="22"/>
        </w:rPr>
        <w:t>角色：1:1对话壳、图库/资料/生涯史标签页。专利04·05·06·09·10运行的主对话面。</w:t>
      </w:r>
    </w:p>
    <w:p>
      <w:pPr>
        <w:pStyle w:val="Heading1"/>
      </w:pPr>
      <w:r>
        <w:rPr>
          <w:rFonts w:ascii="Noto Sans CJK SC" w:hAnsi="Noto Sans CJK SC" w:eastAsia="Noto Sans CJK SC"/>
          <w:b/>
          <w:sz w:val="28"/>
        </w:rPr>
        <w:t>4.B.3 C-2026-037389 — XenLook Landing（程序）</w:t>
      </w:r>
    </w:p>
    <w:p>
      <w:pPr>
        <w:spacing w:after="120" w:line="240" w:lineRule="auto"/>
      </w:pPr>
      <w:r>
        <w:rPr>
          <w:rFonts w:ascii="Noto Sans CJK SC" w:hAnsi="Noto Sans CJK SC" w:eastAsia="Noto Sans CJK SC"/>
          <w:b w:val="0"/>
          <w:sz w:val="22"/>
        </w:rPr>
        <w:t>登记日 2026-07-30 · 公开营销·合规·博客面。</w:t>
      </w:r>
    </w:p>
    <w:p>
      <w:pPr>
        <w:spacing w:after="120" w:line="240" w:lineRule="auto"/>
      </w:pPr>
      <w:r>
        <w:rPr>
          <w:rFonts w:ascii="Noto Sans CJK SC" w:hAnsi="Noto Sans CJK SC" w:eastAsia="Noto Sans CJK SC"/>
          <w:b w:val="0"/>
          <w:sz w:val="22"/>
        </w:rPr>
        <w:t>角色：产品、政策、认证中心与IP披露的公开入口；承载核心C信任状态。</w:t>
      </w:r>
    </w:p>
    <w:p>
      <w:pPr>
        <w:pStyle w:val="Heading1"/>
      </w:pPr>
      <w:r>
        <w:rPr>
          <w:rFonts w:ascii="Noto Sans CJK SC" w:hAnsi="Noto Sans CJK SC" w:eastAsia="Noto Sans CJK SC"/>
          <w:b/>
          <w:sz w:val="28"/>
        </w:rPr>
        <w:t>4.B.4 C-2026-037390 — XenLook Signal（程序）</w:t>
      </w:r>
    </w:p>
    <w:p>
      <w:pPr>
        <w:spacing w:after="120" w:line="240" w:lineRule="auto"/>
      </w:pPr>
      <w:r>
        <w:rPr>
          <w:rFonts w:ascii="Noto Sans CJK SC" w:hAnsi="Noto Sans CJK SC" w:eastAsia="Noto Sans CJK SC"/>
          <w:b w:val="0"/>
          <w:sz w:val="22"/>
        </w:rPr>
        <w:t>登记日 2026-07-30 · AI安全模拟与技术问答档案。</w:t>
      </w:r>
    </w:p>
    <w:p>
      <w:pPr>
        <w:spacing w:after="120" w:line="240" w:lineRule="auto"/>
      </w:pPr>
      <w:r>
        <w:rPr>
          <w:rFonts w:ascii="Noto Sans CJK SC" w:hAnsi="Noto Sans CJK SC" w:eastAsia="Noto Sans CJK SC"/>
          <w:b w:val="0"/>
          <w:sz w:val="22"/>
        </w:rPr>
        <w:t>角色：安全/技术问答与档案面，连接专利01公开审计轴。</w:t>
      </w:r>
    </w:p>
    <w:p>
      <w:pPr>
        <w:pStyle w:val="Heading1"/>
      </w:pPr>
      <w:r>
        <w:rPr>
          <w:rFonts w:ascii="Noto Sans CJK SC" w:hAnsi="Noto Sans CJK SC" w:eastAsia="Noto Sans CJK SC"/>
          <w:b/>
          <w:sz w:val="28"/>
        </w:rPr>
        <w:t>4.B.5 C-2026-037563 — AI智能体宪法（语言文字作品）</w:t>
      </w:r>
    </w:p>
    <w:p>
      <w:pPr>
        <w:spacing w:after="120" w:line="240" w:lineRule="auto"/>
      </w:pPr>
      <w:r>
        <w:rPr>
          <w:rFonts w:ascii="Noto Sans CJK SC" w:hAnsi="Noto Sans CJK SC" w:eastAsia="Noto Sans CJK SC"/>
          <w:b w:val="0"/>
          <w:sz w:val="22"/>
        </w:rPr>
        <w:t>登记日 2026-07-31 · 共同作者 梁延庆 · 南贤佑。</w:t>
      </w:r>
    </w:p>
    <w:p>
      <w:pPr>
        <w:spacing w:after="120" w:line="240" w:lineRule="auto"/>
      </w:pPr>
      <w:r>
        <w:rPr>
          <w:rFonts w:ascii="Noto Sans CJK SC" w:hAnsi="Noto Sans CJK SC" w:eastAsia="Noto Sans CJK SC"/>
          <w:b w:val="0"/>
          <w:sz w:val="22"/>
        </w:rPr>
        <w:t>角色：智能体运营/伦理/身份规范的文字表达；与专利09宪章型LLM前安全规范相连。</w:t>
      </w:r>
    </w:p>
    <w:p>
      <w:pPr>
        <w:pStyle w:val="Heading1"/>
      </w:pPr>
      <w:r>
        <w:rPr>
          <w:rFonts w:ascii="Noto Sans CJK SC" w:hAnsi="Noto Sans CJK SC" w:eastAsia="Noto Sans CJK SC"/>
          <w:b/>
          <w:sz w:val="28"/>
        </w:rPr>
        <w:t>4.C 信任与治理（核心技术·详细）</w:t>
      </w:r>
    </w:p>
    <w:p>
      <w:pPr>
        <w:spacing w:after="120" w:line="240" w:lineRule="auto"/>
      </w:pPr>
      <w:r>
        <w:rPr>
          <w:rFonts w:ascii="Noto Sans CJK SC" w:hAnsi="Noto Sans CJK SC" w:eastAsia="Noto Sans CJK SC"/>
          <w:b w:val="0"/>
          <w:sz w:val="22"/>
        </w:rPr>
        <w:t>信任与治理是核心技术，不是附录。专利与著作权回答“造了什么”，本节回答“如何验证、披露与运营审查状态”。不把状态混写成Certified。</w:t>
      </w:r>
    </w:p>
    <w:p>
      <w:pPr>
        <w:pStyle w:val="Heading1"/>
      </w:pPr>
      <w:r>
        <w:rPr>
          <w:rFonts w:ascii="Noto Sans CJK SC" w:hAnsi="Noto Sans CJK SC" w:eastAsia="Noto Sans CJK SC"/>
          <w:b/>
          <w:sz w:val="28"/>
        </w:rPr>
        <w:t>4.C.1 状态定义（固定）</w:t>
      </w:r>
    </w:p>
    <w:p>
      <w:pPr>
        <w:pStyle w:val="ListBullet"/>
      </w:pPr>
      <w:r>
        <w:rPr>
          <w:rFonts w:ascii="Noto Sans CJK SC" w:hAnsi="Noto Sans CJK SC" w:eastAsia="Noto Sans CJK SC"/>
          <w:b w:val="0"/>
          <w:sz w:val="22"/>
        </w:rPr>
        <w:t>自评 — 内部检查与公开证据包完成；非第三方证书</w:t>
      </w:r>
    </w:p>
    <w:p>
      <w:pPr>
        <w:pStyle w:val="ListBullet"/>
      </w:pPr>
      <w:r>
        <w:rPr>
          <w:rFonts w:ascii="Noto Sans CJK SC" w:hAnsi="Noto Sans CJK SC" w:eastAsia="Noto Sans CJK SC"/>
          <w:b w:val="0"/>
          <w:sz w:val="22"/>
        </w:rPr>
        <w:t>登载 — 已在外部登记册或会员名单发布</w:t>
      </w:r>
    </w:p>
    <w:p>
      <w:pPr>
        <w:pStyle w:val="ListBullet"/>
      </w:pPr>
      <w:r>
        <w:rPr>
          <w:rFonts w:ascii="Noto Sans CJK SC" w:hAnsi="Noto Sans CJK SC" w:eastAsia="Noto Sans CJK SC"/>
          <w:b w:val="0"/>
          <w:sz w:val="22"/>
        </w:rPr>
        <w:t>审查中 — 外部审查进行中；非批准/登载完成</w:t>
      </w:r>
    </w:p>
    <w:p>
      <w:pPr>
        <w:pStyle w:val="ListBullet"/>
      </w:pPr>
      <w:r>
        <w:rPr>
          <w:rFonts w:ascii="Noto Sans CJK SC" w:hAnsi="Noto Sans CJK SC" w:eastAsia="Noto Sans CJK SC"/>
          <w:b w:val="0"/>
          <w:sz w:val="22"/>
        </w:rPr>
        <w:t>路线图 — 仅有计划或尚未启动</w:t>
      </w:r>
    </w:p>
    <w:p>
      <w:pPr>
        <w:pStyle w:val="ListBullet"/>
      </w:pPr>
      <w:r>
        <w:rPr>
          <w:rFonts w:ascii="Noto Sans CJK SC" w:hAnsi="Noto Sans CJK SC" w:eastAsia="Noto Sans CJK SC"/>
          <w:b w:val="0"/>
          <w:sz w:val="22"/>
        </w:rPr>
        <w:t>未持有 — 禁止Certified / CE加贴 / Trust List登载完成等主张</w:t>
      </w:r>
    </w:p>
    <w:p>
      <w:pPr>
        <w:pStyle w:val="Heading1"/>
      </w:pPr>
      <w:r>
        <w:rPr>
          <w:rFonts w:ascii="Noto Sans CJK SC" w:hAnsi="Noto Sans CJK SC" w:eastAsia="Noto Sans CJK SC"/>
          <w:b/>
          <w:sz w:val="28"/>
        </w:rPr>
        <w:t>4.C.2 安全与质量运营（产品内治理）</w:t>
      </w:r>
    </w:p>
    <w:p>
      <w:pPr>
        <w:spacing w:after="120" w:line="240" w:lineRule="auto"/>
      </w:pPr>
      <w:r>
        <w:rPr>
          <w:rFonts w:ascii="Noto Sans CJK SC" w:hAnsi="Noto Sans CJK SC" w:eastAsia="Noto Sans CJK SC"/>
          <w:b w:val="0"/>
          <w:sz w:val="22"/>
        </w:rPr>
        <w:t>对话轮次经过安全门控与引擎注册表阶段门控（专利09）。未成年人由surface/API路径预门控阻止下游调用（专利10）。人格媒体仅在忠实度通过后签名溯源（专利08）。公开前验证与审计记录走专利01。</w:t>
      </w:r>
    </w:p>
    <w:p>
      <w:pPr>
        <w:spacing w:after="120" w:line="240" w:lineRule="auto"/>
      </w:pPr>
      <w:r>
        <w:rPr>
          <w:rFonts w:ascii="Noto Sans CJK SC" w:hAnsi="Noto Sans CJK SC" w:eastAsia="Noto Sans CJK SC"/>
          <w:b w:val="0"/>
          <w:sz w:val="22"/>
        </w:rPr>
        <w:t>质量量规与dual-LLM终端链是运营政策，不是产品满分或法律清关完成声明。</w:t>
      </w:r>
    </w:p>
    <w:p>
      <w:pPr>
        <w:pStyle w:val="Heading1"/>
      </w:pPr>
      <w:r>
        <w:rPr>
          <w:rFonts w:ascii="Noto Sans CJK SC" w:hAnsi="Noto Sans CJK SC" w:eastAsia="Noto Sans CJK SC"/>
          <w:b/>
          <w:sz w:val="28"/>
        </w:rPr>
        <w:t>4.C.3 媒体溯源治理（C2PA）</w:t>
      </w:r>
    </w:p>
    <w:p>
      <w:pPr>
        <w:spacing w:after="120" w:line="240" w:lineRule="auto"/>
      </w:pPr>
      <w:r>
        <w:rPr>
          <w:rFonts w:ascii="Noto Sans CJK SC" w:hAnsi="Noto Sans CJK SC" w:eastAsia="Noto Sans CJK SC"/>
          <w:b w:val="0"/>
          <w:sz w:val="22"/>
        </w:rPr>
        <w:t>C2PA认证机构协议已签署（2026-06-13）。领土为韩国→日本（KR→JP）。不作全球CA主张。</w:t>
      </w:r>
    </w:p>
    <w:p>
      <w:pPr>
        <w:spacing w:after="120" w:line="240" w:lineRule="auto"/>
      </w:pPr>
      <w:r>
        <w:rPr>
          <w:rFonts w:ascii="Noto Sans CJK SC" w:hAnsi="Noto Sans CJK SC" w:eastAsia="Noto Sans CJK SC"/>
          <w:b w:val="0"/>
          <w:sz w:val="22"/>
        </w:rPr>
        <w:t>Trust List登载与Generator处于审查中。公开文案、门户与本白皮书仅使用审查中/under review，不写登载完成或批准完成。</w:t>
      </w:r>
    </w:p>
    <w:p>
      <w:pPr>
        <w:spacing w:after="120" w:line="240" w:lineRule="auto"/>
      </w:pPr>
      <w:r>
        <w:rPr>
          <w:rFonts w:ascii="Noto Sans CJK SC" w:hAnsi="Noto Sans CJK SC" w:eastAsia="Noto Sans CJK SC"/>
          <w:b w:val="0"/>
          <w:sz w:val="22"/>
        </w:rPr>
        <w:t>著作权登记门户（C-2026-036487）是该治理的公开表达。分层清单（M1–M3）与三通道签名门控连接专利07·08。</w:t>
      </w:r>
    </w:p>
    <w:p>
      <w:pPr>
        <w:pStyle w:val="Heading1"/>
      </w:pPr>
      <w:r>
        <w:rPr>
          <w:rFonts w:ascii="Noto Sans CJK SC" w:hAnsi="Noto Sans CJK SC" w:eastAsia="Noto Sans CJK SC"/>
          <w:b/>
          <w:sz w:val="28"/>
        </w:rPr>
        <w:t>4.C.4 外部框架与会员资格（详细现状）</w:t>
      </w:r>
    </w:p>
    <w:p>
      <w:pPr>
        <w:spacing w:after="120" w:line="240" w:lineRule="auto"/>
      </w:pPr>
      <w:r>
        <w:rPr>
          <w:rFonts w:ascii="Noto Sans CJK SC" w:hAnsi="Noto Sans CJK SC" w:eastAsia="Noto Sans CJK SC"/>
          <w:b w:val="0"/>
          <w:sz w:val="22"/>
        </w:rPr>
        <w:t>中心页: https://xenlook.com/ai-certification · https://xenlook.com/compliance</w:t>
      </w:r>
    </w:p>
    <w:p>
      <w:pPr>
        <w:pStyle w:val="ListBullet"/>
      </w:pPr>
      <w:r>
        <w:rPr>
          <w:rFonts w:ascii="Noto Sans CJK SC" w:hAnsi="Noto Sans CJK SC" w:eastAsia="Noto Sans CJK SC"/>
          <w:b w:val="0"/>
          <w:sz w:val="22"/>
        </w:rPr>
        <w:t>IMDA AI Verify — 11原则自评完成 · 证据CI · 非IMDA登记认证</w:t>
      </w:r>
    </w:p>
    <w:p>
      <w:pPr>
        <w:pStyle w:val="ListBullet"/>
      </w:pPr>
      <w:r>
        <w:rPr>
          <w:rFonts w:ascii="Noto Sans CJK SC" w:hAnsi="Noto Sans CJK SC" w:eastAsia="Noto Sans CJK SC"/>
          <w:b w:val="0"/>
          <w:sz w:val="22"/>
        </w:rPr>
        <w:t>TTA genAI / Trust Ops — 自评与运营映射 · 无TTA CAT已获主张 · CAT在路线图</w:t>
      </w:r>
    </w:p>
    <w:p>
      <w:pPr>
        <w:pStyle w:val="ListBullet"/>
      </w:pPr>
      <w:r>
        <w:rPr>
          <w:rFonts w:ascii="Noto Sans CJK SC" w:hAnsi="Noto Sans CJK SC" w:eastAsia="Noto Sans CJK SC"/>
          <w:b w:val="0"/>
          <w:sz w:val="22"/>
        </w:rPr>
        <w:t>NIST AI RMF — 映射证据 · 无NIST证书持有主张</w:t>
      </w:r>
    </w:p>
    <w:p>
      <w:pPr>
        <w:pStyle w:val="ListBullet"/>
      </w:pPr>
      <w:r>
        <w:rPr>
          <w:rFonts w:ascii="Noto Sans CJK SC" w:hAnsi="Noto Sans CJK SC" w:eastAsia="Noto Sans CJK SC"/>
          <w:b w:val="0"/>
          <w:sz w:val="22"/>
        </w:rPr>
        <w:t>OWASP LLM Top 10 — 威胁-控制映射 · 非认证项目</w:t>
      </w:r>
    </w:p>
    <w:p>
      <w:pPr>
        <w:pStyle w:val="ListBullet"/>
      </w:pPr>
      <w:r>
        <w:rPr>
          <w:rFonts w:ascii="Noto Sans CJK SC" w:hAnsi="Noto Sans CJK SC" w:eastAsia="Noto Sans CJK SC"/>
          <w:b w:val="0"/>
          <w:sz w:val="22"/>
        </w:rPr>
        <w:t>CSA STAR Level 1 — 登记册登载 · 自评性质 · 2026-06-12刊登</w:t>
      </w:r>
    </w:p>
    <w:p>
      <w:pPr>
        <w:pStyle w:val="ListBullet"/>
      </w:pPr>
      <w:r>
        <w:rPr>
          <w:rFonts w:ascii="Noto Sans CJK SC" w:hAnsi="Noto Sans CJK SC" w:eastAsia="Noto Sans CJK SC"/>
          <w:b w:val="0"/>
          <w:sz w:val="22"/>
        </w:rPr>
        <w:t>CAI会员 — 已登载</w:t>
      </w:r>
    </w:p>
    <w:p>
      <w:pPr>
        <w:pStyle w:val="ListBullet"/>
      </w:pPr>
      <w:r>
        <w:rPr>
          <w:rFonts w:ascii="Noto Sans CJK SC" w:hAnsi="Noto Sans CJK SC" w:eastAsia="Noto Sans CJK SC"/>
          <w:b w:val="0"/>
          <w:sz w:val="22"/>
        </w:rPr>
        <w:t>C2PA CA协议 — 已签署 · Trust List与Generator审查中</w:t>
      </w:r>
    </w:p>
    <w:p>
      <w:pPr>
        <w:pStyle w:val="ListBullet"/>
      </w:pPr>
      <w:r>
        <w:rPr>
          <w:rFonts w:ascii="Noto Sans CJK SC" w:hAnsi="Noto Sans CJK SC" w:eastAsia="Noto Sans CJK SC"/>
          <w:b w:val="0"/>
          <w:sz w:val="22"/>
        </w:rPr>
        <w:t>NVIDIA Inception — Stage 1</w:t>
      </w:r>
    </w:p>
    <w:p>
      <w:pPr>
        <w:pStyle w:val="ListBullet"/>
      </w:pPr>
      <w:r>
        <w:rPr>
          <w:rFonts w:ascii="Noto Sans CJK SC" w:hAnsi="Noto Sans CJK SC" w:eastAsia="Noto Sans CJK SC"/>
          <w:b w:val="0"/>
          <w:sz w:val="22"/>
        </w:rPr>
        <w:t>EU CE / CRA — 准备与残留跟踪 · 无CE加贴主张</w:t>
      </w:r>
    </w:p>
    <w:p>
      <w:pPr>
        <w:pStyle w:val="ListBullet"/>
      </w:pPr>
      <w:r>
        <w:rPr>
          <w:rFonts w:ascii="Noto Sans CJK SC" w:hAnsi="Noto Sans CJK SC" w:eastAsia="Noto Sans CJK SC"/>
          <w:b w:val="0"/>
          <w:sz w:val="22"/>
        </w:rPr>
        <w:t>WCAG 2.2 AA — 内部门控 · 不替代第三方审计成绩</w:t>
      </w:r>
    </w:p>
    <w:p>
      <w:pPr>
        <w:pStyle w:val="ListBullet"/>
      </w:pPr>
      <w:r>
        <w:rPr>
          <w:rFonts w:ascii="Noto Sans CJK SC" w:hAnsi="Noto Sans CJK SC" w:eastAsia="Noto Sans CJK SC"/>
          <w:b w:val="0"/>
          <w:sz w:val="22"/>
        </w:rPr>
        <w:t>韩国《AI基本法》清单 — 内部检查与用户告知 · 非政府认证</w:t>
      </w:r>
    </w:p>
    <w:p>
      <w:pPr>
        <w:pStyle w:val="ListBullet"/>
      </w:pPr>
      <w:r>
        <w:rPr>
          <w:rFonts w:ascii="Noto Sans CJK SC" w:hAnsi="Noto Sans CJK SC" w:eastAsia="Noto Sans CJK SC"/>
          <w:b w:val="0"/>
          <w:sz w:val="22"/>
        </w:rPr>
        <w:t>日本AI指南·美国披露·EU Art.50 — 辖区中心文档化 · 非Certified完成</w:t>
      </w:r>
    </w:p>
    <w:p>
      <w:pPr>
        <w:pStyle w:val="Heading1"/>
      </w:pPr>
      <w:r>
        <w:rPr>
          <w:rFonts w:ascii="Noto Sans CJK SC" w:hAnsi="Noto Sans CJK SC" w:eastAsia="Noto Sans CJK SC"/>
          <w:b/>
          <w:sz w:val="28"/>
        </w:rPr>
        <w:t>4.C.5 治理与专利·著作权的结合</w:t>
      </w:r>
    </w:p>
    <w:p>
      <w:pPr>
        <w:pStyle w:val="ListBullet"/>
      </w:pPr>
      <w:r>
        <w:rPr>
          <w:rFonts w:ascii="Noto Sans CJK SC" w:hAnsi="Noto Sans CJK SC" w:eastAsia="Noto Sans CJK SC"/>
          <w:b w:val="0"/>
          <w:sz w:val="22"/>
        </w:rPr>
        <w:t>LLM前安全与未调用追踪（专利09）↔ 宪法·On质量政策</w:t>
      </w:r>
    </w:p>
    <w:p>
      <w:pPr>
        <w:pStyle w:val="ListBullet"/>
      </w:pPr>
      <w:r>
        <w:rPr>
          <w:rFonts w:ascii="Noto Sans CJK SC" w:hAnsi="Noto Sans CJK SC" w:eastAsia="Noto Sans CJK SC"/>
          <w:b w:val="0"/>
          <w:sz w:val="22"/>
        </w:rPr>
        <w:t>未成年人surface门控（专利10）↔ Landing/On告知与门控UI</w:t>
      </w:r>
    </w:p>
    <w:p>
      <w:pPr>
        <w:pStyle w:val="ListBullet"/>
      </w:pPr>
      <w:r>
        <w:rPr>
          <w:rFonts w:ascii="Noto Sans CJK SC" w:hAnsi="Noto Sans CJK SC" w:eastAsia="Noto Sans CJK SC"/>
          <w:b w:val="0"/>
          <w:sz w:val="22"/>
        </w:rPr>
        <w:t>溯源M1–M3·三通道签名（专利07·08）↔ C2PA门户著作权 · Trust List审查中披露</w:t>
      </w:r>
    </w:p>
    <w:p>
      <w:pPr>
        <w:pStyle w:val="ListBullet"/>
      </w:pPr>
      <w:r>
        <w:rPr>
          <w:rFonts w:ascii="Noto Sans CJK SC" w:hAnsi="Noto Sans CJK SC" w:eastAsia="Noto Sans CJK SC"/>
          <w:b w:val="0"/>
          <w:sz w:val="22"/>
        </w:rPr>
        <w:t>公开前验证/审计（专利01）↔ Signal·Landing合规面</w:t>
      </w:r>
    </w:p>
    <w:p>
      <w:pPr>
        <w:pStyle w:val="ListBullet"/>
      </w:pPr>
      <w:r>
        <w:rPr>
          <w:rFonts w:ascii="Noto Sans CJK SC" w:hAnsi="Noto Sans CJK SC" w:eastAsia="Noto Sans CJK SC"/>
          <w:b w:val="0"/>
          <w:sz w:val="22"/>
        </w:rPr>
        <w:t>框架自评/登载/审查中表（4.C.4）↔ /ai-certification中心</w:t>
      </w:r>
    </w:p>
    <w:p>
      <w:pPr>
        <w:pStyle w:val="Heading1"/>
      </w:pPr>
      <w:r>
        <w:rPr>
          <w:rFonts w:ascii="Noto Sans CJK SC" w:hAnsi="Noto Sans CJK SC" w:eastAsia="Noto Sans CJK SC"/>
          <w:b/>
          <w:sz w:val="28"/>
        </w:rPr>
        <w:t>5. 核心技术如何组装产品</w:t>
      </w:r>
    </w:p>
    <w:p>
      <w:pPr>
        <w:pStyle w:val="ListBullet"/>
      </w:pPr>
      <w:r>
        <w:rPr>
          <w:rFonts w:ascii="Noto Sans CJK SC" w:hAnsi="Noto Sans CJK SC" w:eastAsia="Noto Sans CJK SC"/>
          <w:b w:val="0"/>
          <w:sz w:val="22"/>
        </w:rPr>
        <w:t>伙伴对话（On著作权）: 专利04·05·06·09·10 + 4.C.2</w:t>
      </w:r>
    </w:p>
    <w:p>
      <w:pPr>
        <w:pStyle w:val="ListBullet"/>
      </w:pPr>
      <w:r>
        <w:rPr>
          <w:rFonts w:ascii="Noto Sans CJK SC" w:hAnsi="Noto Sans CJK SC" w:eastAsia="Noto Sans CJK SC"/>
          <w:b w:val="0"/>
          <w:sz w:val="22"/>
        </w:rPr>
        <w:t>媒体/图库: 专利08(+07) + C2PA门户著作权 + 4.C.3</w:t>
      </w:r>
    </w:p>
    <w:p>
      <w:pPr>
        <w:pStyle w:val="ListBullet"/>
      </w:pPr>
      <w:r>
        <w:rPr>
          <w:rFonts w:ascii="Noto Sans CJK SC" w:hAnsi="Noto Sans CJK SC" w:eastAsia="Noto Sans CJK SC"/>
          <w:b w:val="0"/>
          <w:sz w:val="22"/>
        </w:rPr>
        <w:t>校园/工作室: 专利02·03 + 专利01</w:t>
      </w:r>
    </w:p>
    <w:p>
      <w:pPr>
        <w:pStyle w:val="ListBullet"/>
      </w:pPr>
      <w:r>
        <w:rPr>
          <w:rFonts w:ascii="Noto Sans CJK SC" w:hAnsi="Noto Sans CJK SC" w:eastAsia="Noto Sans CJK SC"/>
          <w:b w:val="0"/>
          <w:sz w:val="22"/>
        </w:rPr>
        <w:t>公开信任中心（Landing著作权）: 4.C.4 + IP披露</w:t>
      </w:r>
    </w:p>
    <w:p>
      <w:pPr>
        <w:pStyle w:val="Heading1"/>
      </w:pPr>
      <w:r>
        <w:rPr>
          <w:rFonts w:ascii="Noto Sans CJK SC" w:hAnsi="Noto Sans CJK SC" w:eastAsia="Noto Sans CJK SC"/>
          <w:b/>
          <w:sz w:val="28"/>
        </w:rPr>
        <w:t>6. 商标</w:t>
      </w:r>
    </w:p>
    <w:p>
      <w:pPr>
        <w:pStyle w:val="ListBullet"/>
      </w:pPr>
      <w:r>
        <w:rPr>
          <w:rFonts w:ascii="Noto Sans CJK SC" w:hAnsi="Noto Sans CJK SC" w:eastAsia="Noto Sans CJK SC"/>
          <w:b w:val="0"/>
          <w:sz w:val="22"/>
        </w:rPr>
        <w:t>标志: XENLOOK 字标</w:t>
      </w:r>
    </w:p>
    <w:p>
      <w:pPr>
        <w:pStyle w:val="ListBullet"/>
      </w:pPr>
      <w:r>
        <w:rPr>
          <w:rFonts w:ascii="Noto Sans CJK SC" w:hAnsi="Noto Sans CJK SC" w:eastAsia="Noto Sans CJK SC"/>
          <w:b w:val="0"/>
          <w:sz w:val="22"/>
        </w:rPr>
        <w:t>申请号: 40-2026-0119385</w:t>
      </w:r>
    </w:p>
    <w:p>
      <w:pPr>
        <w:pStyle w:val="ListBullet"/>
      </w:pPr>
      <w:r>
        <w:rPr>
          <w:rFonts w:ascii="Noto Sans CJK SC" w:hAnsi="Noto Sans CJK SC" w:eastAsia="Noto Sans CJK SC"/>
          <w:b w:val="0"/>
          <w:sz w:val="22"/>
        </w:rPr>
        <w:t>受理号: 1-1-2026-0720692-53 · 2026-06-13</w:t>
      </w:r>
    </w:p>
    <w:p>
      <w:pPr>
        <w:pStyle w:val="ListBullet"/>
      </w:pPr>
      <w:r>
        <w:rPr>
          <w:rFonts w:ascii="Noto Sans CJK SC" w:hAnsi="Noto Sans CJK SC" w:eastAsia="Noto Sans CJK SC"/>
          <w:b w:val="0"/>
          <w:sz w:val="22"/>
        </w:rPr>
        <w:t>文件: 商标注册申请书（含第09类共3类）</w:t>
      </w:r>
    </w:p>
    <w:p>
      <w:pPr>
        <w:pStyle w:val="ListBullet"/>
      </w:pPr>
      <w:r>
        <w:rPr>
          <w:rFonts w:ascii="Noto Sans CJK SC" w:hAnsi="Noto Sans CJK SC" w:eastAsia="Noto Sans CJK SC"/>
          <w:b w:val="0"/>
          <w:sz w:val="22"/>
        </w:rPr>
        <w:t>状态: 已申请 · 未注册</w:t>
      </w:r>
    </w:p>
    <w:p>
      <w:pPr>
        <w:pStyle w:val="Heading1"/>
      </w:pPr>
      <w:r>
        <w:rPr>
          <w:rFonts w:ascii="Noto Sans CJK SC" w:hAnsi="Noto Sans CJK SC" w:eastAsia="Noto Sans CJK SC"/>
          <w:b/>
          <w:sz w:val="28"/>
        </w:rPr>
        <w:t>7. 范围与限制</w:t>
      </w:r>
    </w:p>
    <w:p>
      <w:pPr>
        <w:pStyle w:val="ListBullet"/>
      </w:pPr>
      <w:r>
        <w:rPr>
          <w:rFonts w:ascii="Noto Sans CJK SC" w:hAnsi="Noto Sans CJK SC" w:eastAsia="Noto Sans CJK SC"/>
          <w:b w:val="0"/>
          <w:sz w:val="22"/>
        </w:rPr>
        <w:t>包含: 专利课题/构成/效果、著作权登记的技术角色、信任治理详情、商标、2027路线图</w:t>
      </w:r>
    </w:p>
    <w:p>
      <w:pPr>
        <w:pStyle w:val="ListBullet"/>
      </w:pPr>
      <w:r>
        <w:rPr>
          <w:rFonts w:ascii="Noto Sans CJK SC" w:hAnsi="Noto Sans CJK SC" w:eastAsia="Noto Sans CJK SC"/>
          <w:b w:val="0"/>
          <w:sz w:val="22"/>
        </w:rPr>
        <w:t>不包含: 权利要求全文、附图全文、模型权重、训练数据构成</w:t>
      </w:r>
    </w:p>
    <w:p>
      <w:pPr>
        <w:pStyle w:val="ListBullet"/>
      </w:pPr>
      <w:r>
        <w:rPr>
          <w:rFonts w:ascii="Noto Sans CJK SC" w:hAnsi="Noto Sans CJK SC" w:eastAsia="Noto Sans CJK SC"/>
          <w:b w:val="0"/>
          <w:sz w:val="22"/>
        </w:rPr>
        <w:t>ASB: 仅概念 · 无实现完成主张</w:t>
      </w:r>
    </w:p>
    <w:p>
      <w:pPr>
        <w:pStyle w:val="ListBullet"/>
      </w:pPr>
      <w:r>
        <w:rPr>
          <w:rFonts w:ascii="Noto Sans CJK SC" w:hAnsi="Noto Sans CJK SC" w:eastAsia="Noto Sans CJK SC"/>
          <w:b w:val="0"/>
          <w:sz w:val="22"/>
        </w:rPr>
        <w:t>说明书定量 = 申请人自测 · 非外部公认成绩</w:t>
      </w:r>
    </w:p>
    <w:p>
      <w:pPr>
        <w:pStyle w:val="ListBullet"/>
      </w:pPr>
      <w:r>
        <w:rPr>
          <w:rFonts w:ascii="Noto Sans CJK SC" w:hAnsi="Noto Sans CJK SC" w:eastAsia="Noto Sans CJK SC"/>
          <w:b w:val="0"/>
          <w:sz w:val="22"/>
        </w:rPr>
        <w:t>无产品满分或法律清关完成声明</w:t>
      </w:r>
    </w:p>
    <w:p>
      <w:pPr>
        <w:pStyle w:val="Heading1"/>
      </w:pPr>
      <w:r>
        <w:rPr>
          <w:rFonts w:ascii="Noto Sans CJK SC" w:hAnsi="Noto Sans CJK SC" w:eastAsia="Noto Sans CJK SC"/>
          <w:b/>
          <w:sz w:val="28"/>
        </w:rPr>
        <w:t>8. 产品路线图（2027）</w:t>
      </w:r>
    </w:p>
    <w:p>
      <w:pPr>
        <w:pStyle w:val="ListBullet"/>
      </w:pPr>
      <w:r>
        <w:rPr>
          <w:rFonts w:ascii="Noto Sans CJK SC" w:hAnsi="Noto Sans CJK SC" w:eastAsia="Noto Sans CJK SC"/>
          <w:b w:val="0"/>
          <w:sz w:val="22"/>
        </w:rPr>
        <w:t>2027年1季度 — XenLook Guild开放</w:t>
      </w:r>
    </w:p>
    <w:p>
      <w:pPr>
        <w:pStyle w:val="ListBullet"/>
      </w:pPr>
      <w:r>
        <w:rPr>
          <w:rFonts w:ascii="Noto Sans CJK SC" w:hAnsi="Noto Sans CJK SC" w:eastAsia="Noto Sans CJK SC"/>
          <w:b w:val="0"/>
          <w:sz w:val="22"/>
        </w:rPr>
        <w:t>2027年1季度 — 智能体标准脑ASB（概念披露）</w:t>
      </w:r>
    </w:p>
    <w:p>
      <w:pPr>
        <w:pStyle w:val="ListBullet"/>
      </w:pPr>
      <w:r>
        <w:rPr>
          <w:rFonts w:ascii="Noto Sans CJK SC" w:hAnsi="Noto Sans CJK SC" w:eastAsia="Noto Sans CJK SC"/>
          <w:b w:val="0"/>
          <w:sz w:val="22"/>
        </w:rPr>
        <w:t>2027年2–3季度 — XenLook World</w:t>
      </w:r>
    </w:p>
    <w:p>
      <w:pPr>
        <w:pStyle w:val="ListBullet"/>
      </w:pPr>
      <w:r>
        <w:rPr>
          <w:rFonts w:ascii="Noto Sans CJK SC" w:hAnsi="Noto Sans CJK SC" w:eastAsia="Noto Sans CJK SC"/>
          <w:b w:val="0"/>
          <w:sz w:val="22"/>
        </w:rPr>
        <w:t>2027年4季度 — Agent OS开放</w:t>
      </w:r>
    </w:p>
    <w:p>
      <w:pPr>
        <w:pStyle w:val="ListBullet"/>
      </w:pPr>
      <w:r>
        <w:rPr>
          <w:rFonts w:ascii="Noto Sans CJK SC" w:hAnsi="Noto Sans CJK SC" w:eastAsia="Noto Sans CJK SC"/>
          <w:b w:val="0"/>
          <w:sz w:val="22"/>
        </w:rPr>
        <w:t>并行 — C2PA Trust List/Generator审查 · KR→JP CA · 专利审查请求视预算与日程</w:t>
      </w:r>
    </w:p>
    <w:p>
      <w:pPr>
        <w:pStyle w:val="Heading1"/>
      </w:pPr>
      <w:r>
        <w:rPr>
          <w:rFonts w:ascii="Noto Sans CJK SC" w:hAnsi="Noto Sans CJK SC" w:eastAsia="Noto Sans CJK SC"/>
          <w:b/>
          <w:sz w:val="28"/>
        </w:rPr>
        <w:t>9. 结论</w:t>
      </w:r>
    </w:p>
    <w:p>
      <w:pPr>
        <w:spacing w:after="120" w:line="240" w:lineRule="auto"/>
      </w:pPr>
      <w:r>
        <w:rPr>
          <w:rFonts w:ascii="Noto Sans CJK SC" w:hAnsi="Noto Sans CJK SC" w:eastAsia="Noto Sans CJK SC"/>
          <w:b w:val="0"/>
          <w:sz w:val="22"/>
        </w:rPr>
        <w:t>Core technology is ten patents, five copyrights, and trust/governance detailed inside that core. We do not replace engineering with certification badges, nor confuse under-review, self-assessment, and registry listing.</w:t>
      </w:r>
    </w:p>
    <w:p>
      <w:pPr>
        <w:pStyle w:val="Heading1"/>
      </w:pPr>
      <w:r>
        <w:rPr>
          <w:rFonts w:ascii="Noto Sans CJK SC" w:hAnsi="Noto Sans CJK SC" w:eastAsia="Noto Sans CJK SC"/>
          <w:b/>
          <w:sz w:val="28"/>
        </w:rPr>
        <w:t>附录A. 公开面与文档索引</w:t>
      </w:r>
    </w:p>
    <w:p>
      <w:pPr>
        <w:pStyle w:val="ListBullet"/>
      </w:pPr>
      <w:r>
        <w:rPr>
          <w:rFonts w:ascii="Noto Sans CJK SC" w:hAnsi="Noto Sans CJK SC" w:eastAsia="Noto Sans CJK SC"/>
          <w:b w:val="0"/>
          <w:sz w:val="22"/>
        </w:rPr>
        <w:t>https://xenlook.com</w:t>
      </w:r>
    </w:p>
    <w:p>
      <w:pPr>
        <w:pStyle w:val="ListBullet"/>
      </w:pPr>
      <w:r>
        <w:rPr>
          <w:rFonts w:ascii="Noto Sans CJK SC" w:hAnsi="Noto Sans CJK SC" w:eastAsia="Noto Sans CJK SC"/>
          <w:b w:val="0"/>
          <w:sz w:val="22"/>
        </w:rPr>
        <w:t>https://on.xenlook.com</w:t>
      </w:r>
    </w:p>
    <w:p>
      <w:pPr>
        <w:pStyle w:val="ListBullet"/>
      </w:pPr>
      <w:r>
        <w:rPr>
          <w:rFonts w:ascii="Noto Sans CJK SC" w:hAnsi="Noto Sans CJK SC" w:eastAsia="Noto Sans CJK SC"/>
          <w:b w:val="0"/>
          <w:sz w:val="22"/>
        </w:rPr>
        <w:t>https://c2pa.xenlook.com</w:t>
      </w:r>
    </w:p>
    <w:p>
      <w:pPr>
        <w:pStyle w:val="ListBullet"/>
      </w:pPr>
      <w:r>
        <w:rPr>
          <w:rFonts w:ascii="Noto Sans CJK SC" w:hAnsi="Noto Sans CJK SC" w:eastAsia="Noto Sans CJK SC"/>
          <w:b w:val="0"/>
          <w:sz w:val="22"/>
        </w:rPr>
        <w:t>https://xenlook.com/ai-certification</w:t>
      </w:r>
    </w:p>
    <w:p>
      <w:pPr>
        <w:pStyle w:val="ListBullet"/>
      </w:pPr>
      <w:r>
        <w:rPr>
          <w:rFonts w:ascii="Noto Sans CJK SC" w:hAnsi="Noto Sans CJK SC" w:eastAsia="Noto Sans CJK SC"/>
          <w:b w:val="0"/>
          <w:sz w:val="22"/>
        </w:rPr>
        <w:t>https://xenlook.com/ip-protection</w:t>
      </w:r>
    </w:p>
    <w:p>
      <w:pPr>
        <w:pStyle w:val="ListBullet"/>
      </w:pPr>
      <w:r>
        <w:rPr>
          <w:rFonts w:ascii="Noto Sans CJK SC" w:hAnsi="Noto Sans CJK SC" w:eastAsia="Noto Sans CJK SC"/>
          <w:b w:val="0"/>
          <w:sz w:val="22"/>
        </w:rPr>
        <w:t>本白皮书: https://xenlook.com/ai-certification#tech-cert-whitepaper</w:t>
      </w:r>
    </w:p>
    <w:p>
      <w:pPr>
        <w:pStyle w:val="Heading1"/>
      </w:pPr>
      <w:r>
        <w:rPr>
          <w:rFonts w:ascii="Noto Sans CJK SC" w:hAnsi="Noto Sans CJK SC" w:eastAsia="Noto Sans CJK SC"/>
          <w:b/>
          <w:sz w:val="28"/>
        </w:rPr>
        <w:t>附录B. 术语</w:t>
      </w:r>
    </w:p>
    <w:p>
      <w:pPr>
        <w:pStyle w:val="ListBullet"/>
      </w:pPr>
      <w:r>
        <w:rPr>
          <w:rFonts w:ascii="Noto Sans CJK SC" w:hAnsi="Noto Sans CJK SC" w:eastAsia="Noto Sans CJK SC"/>
          <w:b w:val="0"/>
          <w:sz w:val="22"/>
        </w:rPr>
        <w:t>SOUL / IDENTITY / CHRONICLE — 灵魂·身份·生涯史</w:t>
      </w:r>
    </w:p>
    <w:p>
      <w:pPr>
        <w:pStyle w:val="ListBullet"/>
      </w:pPr>
      <w:r>
        <w:rPr>
          <w:rFonts w:ascii="Noto Sans CJK SC" w:hAnsi="Noto Sans CJK SC" w:eastAsia="Noto Sans CJK SC"/>
          <w:b w:val="0"/>
          <w:sz w:val="22"/>
        </w:rPr>
        <w:t>surface — 以API路径区分的服务面</w:t>
      </w:r>
    </w:p>
    <w:p>
      <w:pPr>
        <w:pStyle w:val="ListBullet"/>
      </w:pPr>
      <w:r>
        <w:rPr>
          <w:rFonts w:ascii="Noto Sans CJK SC" w:hAnsi="Noto Sans CJK SC" w:eastAsia="Noto Sans CJK SC"/>
          <w:b w:val="0"/>
          <w:sz w:val="22"/>
        </w:rPr>
        <w:t>personaPackHash — 三通道同一注入的人格包哈希</w:t>
      </w:r>
    </w:p>
    <w:p>
      <w:pPr>
        <w:pStyle w:val="ListBullet"/>
      </w:pPr>
      <w:r>
        <w:rPr>
          <w:rFonts w:ascii="Noto Sans CJK SC" w:hAnsi="Noto Sans CJK SC" w:eastAsia="Noto Sans CJK SC"/>
          <w:b w:val="0"/>
          <w:sz w:val="22"/>
        </w:rPr>
        <w:t>C2PA — Content Provenance and Authenticity</w:t>
      </w:r>
    </w:p>
    <w:p>
      <w:pPr>
        <w:pStyle w:val="ListBullet"/>
      </w:pPr>
      <w:r>
        <w:rPr>
          <w:rFonts w:ascii="Noto Sans CJK SC" w:hAnsi="Noto Sans CJK SC" w:eastAsia="Noto Sans CJK SC"/>
          <w:b w:val="0"/>
          <w:sz w:val="22"/>
        </w:rPr>
        <w:t>自评 / 登载 / 审查中 / 路线图 / 未持有 — 见4.C.1</w:t>
      </w:r>
    </w:p>
    <w:p>
      <w:pPr>
        <w:pStyle w:val="ListBullet"/>
      </w:pPr>
      <w:r>
        <w:rPr>
          <w:rFonts w:ascii="Noto Sans CJK SC" w:hAnsi="Noto Sans CJK SC" w:eastAsia="Noto Sans CJK SC"/>
          <w:b w:val="0"/>
          <w:sz w:val="22"/>
        </w:rPr>
        <w:t>ASB — Agent Standard Brain · 仅概念</w:t>
      </w:r>
    </w:p>
    <w:p>
      <w:pPr>
        <w:pStyle w:val="ListBullet"/>
      </w:pPr>
      <w:r>
        <w:rPr>
          <w:rFonts w:ascii="Noto Sans CJK SC" w:hAnsi="Noto Sans CJK SC" w:eastAsia="Noto Sans CJK SC"/>
          <w:b w:val="0"/>
          <w:sz w:val="22"/>
        </w:rPr>
        <w:t>KR→JP CA — C2PA CA领土</w:t>
      </w:r>
    </w:p>
    <w:p/>
    <w:p>
      <w:pPr>
        <w:spacing w:after="120" w:line="240" w:lineRule="auto"/>
      </w:pPr>
      <w:r>
        <w:rPr>
          <w:rFonts w:ascii="Noto Sans CJK SC" w:hAnsi="Noto Sans CJK SC" w:eastAsia="Noto Sans CJK SC"/>
          <w:b/>
          <w:sz w:val="22"/>
        </w:rPr>
        <w:t>联系: help@xenlook.com · XenLook Inc. · https://xenlook.com</w:t>
      </w:r>
    </w:p>
    <w:p>
      <w:pPr>
        <w:spacing w:after="120" w:line="240" w:lineRule="auto"/>
        <w:jc w:val="center"/>
      </w:pPr>
      <w:r>
        <w:rPr>
          <w:rFonts w:ascii="Noto Sans CJK SC" w:hAnsi="Noto Sans CJK SC" w:eastAsia="Noto Sans CJK SC"/>
          <w:b w:val="0"/>
          <w:color w:val="64748B"/>
          <w:sz w:val="18"/>
        </w:rPr>
        <w:t>© 2026 XenLook Inc. · 技术白皮书 · 12语合订 · EN→KO→JA→ZH→…</w:t>
      </w:r>
    </w:p>
    <w:p>
      <w:r>
        <w:br w:type="page"/>
      </w:r>
    </w:p>
    <w:p>
      <w:pPr>
        <w:spacing w:after="120" w:line="240" w:lineRule="auto"/>
        <w:jc w:val="center"/>
      </w:pPr>
      <w:r>
        <w:rPr>
          <w:b/>
          <w:color w:val="0EA5E9"/>
          <w:sz w:val="52"/>
        </w:rPr>
        <w:t>XENLOOK</w:t>
      </w:r>
    </w:p>
    <w:p>
      <w:pPr>
        <w:spacing w:after="120" w:line="240" w:lineRule="auto"/>
        <w:jc w:val="center"/>
      </w:pPr>
      <w:r>
        <w:rPr>
          <w:b/>
          <w:sz w:val="36"/>
        </w:rPr>
        <w:t>Libro blanco técnico XENLOOK</w:t>
      </w:r>
    </w:p>
    <w:p>
      <w:pPr>
        <w:spacing w:after="120" w:line="240" w:lineRule="auto"/>
        <w:jc w:val="center"/>
      </w:pPr>
      <w:r>
        <w:rPr>
          <w:b w:val="0"/>
          <w:color w:val="64748B"/>
          <w:sz w:val="24"/>
        </w:rPr>
        <w:t>Edición integrada · Tecnología central (patentes · derechos de autor · gobernanza de confianza) · marca · hoja de ruta · 12 idiomas</w:t>
      </w:r>
    </w:p>
    <w:p>
      <w:pPr>
        <w:spacing w:after="120" w:line="240" w:lineRule="auto"/>
        <w:jc w:val="center"/>
      </w:pPr>
      <w:r>
        <w:rPr>
          <w:b w:val="0"/>
          <w:i/>
          <w:sz w:val="20"/>
        </w:rPr>
        <w:t>XenLook Inc. · agosto 2026 · Version 2026-08-07-ALL-r2</w:t>
      </w:r>
    </w:p>
    <w:p>
      <w:pPr>
        <w:spacing w:after="120" w:line="240" w:lineRule="auto"/>
        <w:jc w:val="center"/>
      </w:pPr>
      <w:r>
        <w:rPr>
          <w:b w:val="0"/>
          <w:sz w:val="18"/>
        </w:rPr>
        <w:t>Español · es</w:t>
      </w:r>
    </w:p>
    <w:p/>
    <w:p>
      <w:pPr>
        <w:spacing w:after="120" w:line="240" w:lineRule="auto"/>
      </w:pPr>
      <w:r>
        <w:rPr>
          <w:b w:val="0"/>
          <w:sz w:val="22"/>
        </w:rPr>
        <w:t>La tecnología central de este libro blanco tiene tres ejes. (1) Diez patentes. (2) Cinco derechos de autor. (3) Confianza y gobernanza, detalladas dentro del capítulo central. Patentes y marca: solicitadas, aún no registradas. Lista Trust C2PA y Generator: en revisión. ASB solo como concepto.</w:t>
      </w:r>
    </w:p>
    <w:p>
      <w:pPr>
        <w:pStyle w:val="Heading1"/>
      </w:pPr>
      <w:r>
        <w:rPr>
          <w:b/>
          <w:sz w:val="28"/>
        </w:rPr>
        <w:t>1. Resumen</w:t>
      </w:r>
    </w:p>
    <w:p>
      <w:pPr>
        <w:spacing w:after="120" w:line="240" w:lineRule="auto"/>
      </w:pPr>
      <w:r>
        <w:rPr>
          <w:b w:val="0"/>
          <w:sz w:val="22"/>
        </w:rPr>
        <w:t>XenLook is a global AI companion and creative platform. Korea-first beta combines partner dialogue, multi-agent personas, provenance-aware media, and minor-protection gates in one operating system.</w:t>
      </w:r>
    </w:p>
    <w:p>
      <w:pPr>
        <w:spacing w:after="120" w:line="240" w:lineRule="auto"/>
      </w:pPr>
      <w:r>
        <w:rPr>
          <w:b w:val="0"/>
          <w:sz w:val="22"/>
        </w:rPr>
        <w:t>Core technology is not a pipeline slogan. Invention (patents), expression (copyrights), and operational trust (governance) are the body of this paper.</w:t>
      </w:r>
    </w:p>
    <w:p>
      <w:pPr>
        <w:pStyle w:val="ListBullet"/>
      </w:pPr>
      <w:r>
        <w:rPr>
          <w:b w:val="0"/>
          <w:sz w:val="22"/>
        </w:rPr>
        <w:t>Core A — 10 patents (KIPO filed · examination request pending · not registered)</w:t>
      </w:r>
    </w:p>
    <w:p>
      <w:pPr>
        <w:pStyle w:val="ListBullet"/>
      </w:pPr>
      <w:r>
        <w:rPr>
          <w:b w:val="0"/>
          <w:sz w:val="22"/>
        </w:rPr>
        <w:t>Core B — 5 copyrights (Korea Copyright Commission · certificate-verified)</w:t>
      </w:r>
    </w:p>
    <w:p>
      <w:pPr>
        <w:pStyle w:val="ListBullet"/>
      </w:pPr>
      <w:r>
        <w:rPr>
          <w:b w:val="0"/>
          <w:sz w:val="22"/>
        </w:rPr>
        <w:t>Core C — Trust &amp; governance (status definitions · framework detail · inside core chapter)</w:t>
      </w:r>
    </w:p>
    <w:p>
      <w:pPr>
        <w:pStyle w:val="ListBullet"/>
      </w:pPr>
      <w:r>
        <w:rPr>
          <w:b w:val="0"/>
          <w:sz w:val="22"/>
        </w:rPr>
        <w:t>Trademark — XENLOOK wordmark application 40-2026-0119385 (filed, not registered)</w:t>
      </w:r>
    </w:p>
    <w:p>
      <w:pPr>
        <w:pStyle w:val="ListBullet"/>
      </w:pPr>
      <w:r>
        <w:rPr>
          <w:b w:val="0"/>
          <w:sz w:val="22"/>
        </w:rPr>
        <w:t>C2PA CA territory: Korea→Japan (KR→JP). No global CA claim.</w:t>
      </w:r>
    </w:p>
    <w:p>
      <w:pPr>
        <w:pStyle w:val="Heading1"/>
      </w:pPr>
      <w:r>
        <w:rPr>
          <w:b/>
          <w:sz w:val="28"/>
        </w:rPr>
        <w:t>2. Introducción — qué construimos</w:t>
      </w:r>
    </w:p>
    <w:p>
      <w:pPr>
        <w:spacing w:after="120" w:line="240" w:lineRule="auto"/>
      </w:pPr>
      <w:r>
        <w:rPr>
          <w:b w:val="0"/>
          <w:sz w:val="22"/>
        </w:rPr>
        <w:t>Competition in generative AI is not only reply quality. Persona persistence, per-turn safety and cost tracing, content provenance, minor policies, and honest disclosure of external trust frameworks are the technical substance.</w:t>
      </w:r>
    </w:p>
    <w:p>
      <w:pPr>
        <w:spacing w:after="120" w:line="240" w:lineRule="auto"/>
      </w:pPr>
      <w:r>
        <w:rPr>
          <w:b w:val="0"/>
          <w:sz w:val="22"/>
        </w:rPr>
        <w:t>XenLook protects that substance with patents, registers product and constitutional expressions as copyrights, and documents trust operations inside the core-technology chapter.</w:t>
      </w:r>
    </w:p>
    <w:p>
      <w:pPr>
        <w:pStyle w:val="Heading1"/>
      </w:pPr>
      <w:r>
        <w:rPr>
          <w:b/>
          <w:sz w:val="28"/>
        </w:rPr>
        <w:t>3. Definición del problema</w:t>
      </w:r>
    </w:p>
    <w:p>
      <w:pPr>
        <w:spacing w:after="120" w:line="240" w:lineRule="auto"/>
      </w:pPr>
      <w:r>
        <w:rPr>
          <w:b w:val="0"/>
          <w:sz w:val="22"/>
        </w:rPr>
        <w:t>Recurring failure modes in public services map to the three core axes as follows.</w:t>
      </w:r>
    </w:p>
    <w:p>
      <w:pPr>
        <w:pStyle w:val="ListBullet"/>
      </w:pPr>
      <w:r>
        <w:rPr>
          <w:b w:val="0"/>
          <w:sz w:val="22"/>
        </w:rPr>
        <w:t>Speech-act / multi-intent collapse → Patent 04</w:t>
      </w:r>
    </w:p>
    <w:p>
      <w:pPr>
        <w:pStyle w:val="ListBullet"/>
      </w:pPr>
      <w:r>
        <w:rPr>
          <w:b w:val="0"/>
          <w:sz w:val="22"/>
        </w:rPr>
        <w:t>Identity dilution / context collapse → Patent 05 · copyrights (On · Constitution)</w:t>
      </w:r>
    </w:p>
    <w:p>
      <w:pPr>
        <w:pStyle w:val="ListBullet"/>
      </w:pPr>
      <w:r>
        <w:rPr>
          <w:b w:val="0"/>
          <w:sz w:val="22"/>
        </w:rPr>
        <w:t>Agent lifecycle vacuum → Patent 06</w:t>
      </w:r>
    </w:p>
    <w:p>
      <w:pPr>
        <w:pStyle w:val="ListBullet"/>
      </w:pPr>
      <w:r>
        <w:rPr>
          <w:b w:val="0"/>
          <w:sz w:val="22"/>
        </w:rPr>
        <w:t>Media lane mismatch / missing provenance → Patents 07·08 · copyright (C2PA portal)</w:t>
      </w:r>
    </w:p>
    <w:p>
      <w:pPr>
        <w:pStyle w:val="ListBullet"/>
      </w:pPr>
      <w:r>
        <w:rPr>
          <w:b w:val="0"/>
          <w:sz w:val="22"/>
        </w:rPr>
        <w:t>All-engine calls / post-hoc safety / broken audit → Patents 01·09</w:t>
      </w:r>
    </w:p>
    <w:p>
      <w:pPr>
        <w:pStyle w:val="ListBullet"/>
      </w:pPr>
      <w:r>
        <w:rPr>
          <w:b w:val="0"/>
          <w:sz w:val="22"/>
        </w:rPr>
        <w:t>Minor surface leakage → Patent 10</w:t>
      </w:r>
    </w:p>
    <w:p>
      <w:pPr>
        <w:pStyle w:val="ListBullet"/>
      </w:pPr>
      <w:r>
        <w:rPr>
          <w:b w:val="0"/>
          <w:sz w:val="22"/>
        </w:rPr>
        <w:t>Campus / studio tracking gaps → Patents 02·03</w:t>
      </w:r>
    </w:p>
    <w:p>
      <w:pPr>
        <w:pStyle w:val="ListBullet"/>
      </w:pPr>
      <w:r>
        <w:rPr>
          <w:b w:val="0"/>
          <w:sz w:val="22"/>
        </w:rPr>
        <w:t>Overstated certification / status confusion → Core C trust-governance definitions and tables</w:t>
      </w:r>
    </w:p>
    <w:p>
      <w:pPr>
        <w:pStyle w:val="Heading1"/>
      </w:pPr>
      <w:r>
        <w:rPr>
          <w:b/>
          <w:sz w:val="28"/>
        </w:rPr>
        <w:t>4. Tecnología central</w:t>
      </w:r>
    </w:p>
    <w:p>
      <w:pPr>
        <w:spacing w:after="120" w:line="240" w:lineRule="auto"/>
      </w:pPr>
      <w:r>
        <w:rPr>
          <w:b w:val="0"/>
          <w:sz w:val="22"/>
        </w:rPr>
        <w:t>Core technology is replaced by patents (A), copyrights (B), and trust governance (C). This chapter is not filled with architecture slogans alone.</w:t>
      </w:r>
    </w:p>
    <w:p>
      <w:pPr>
        <w:pStyle w:val="Heading1"/>
      </w:pPr>
      <w:r>
        <w:rPr>
          <w:b/>
          <w:sz w:val="28"/>
        </w:rPr>
        <w:t>4.A Patentes — diez invenciones de método/sistema</w:t>
      </w:r>
    </w:p>
    <w:p>
      <w:pPr>
        <w:spacing w:after="120" w:line="240" w:lineRule="auto"/>
      </w:pPr>
      <w:r>
        <w:rPr>
          <w:b w:val="0"/>
          <w:sz w:val="22"/>
        </w:rPr>
        <w:t>Status: domestic filing complete · examination request pending · not registered. Applicant: XenLook Inc. The following restates field, problem, structure, and effects from each specification for white-paper use; it does not replace full claims.</w:t>
      </w:r>
    </w:p>
    <w:p>
      <w:pPr>
        <w:pStyle w:val="Heading1"/>
      </w:pPr>
      <w:r>
        <w:rPr>
          <w:b/>
          <w:sz w:val="28"/>
        </w:rPr>
        <w:t>4.A.1 Patente 01 — Verificación multi-etapa de solicitudes AI externas y auditoría pública</w:t>
      </w:r>
    </w:p>
    <w:p>
      <w:pPr>
        <w:spacing w:after="120" w:line="240" w:lineRule="auto"/>
      </w:pPr>
      <w:r>
        <w:rPr>
          <w:b w:val="0"/>
          <w:sz w:val="22"/>
        </w:rPr>
        <w:t>N.º de solicitud 10-2026-0100026.</w:t>
      </w:r>
    </w:p>
    <w:p>
      <w:pPr>
        <w:spacing w:after="120" w:line="240" w:lineRule="auto"/>
      </w:pPr>
      <w:r>
        <w:rPr>
          <w:b w:val="0"/>
          <w:sz w:val="22"/>
        </w:rPr>
        <w:t>Campo: solicitudes AI externas, orquestación multi-motor, verificación operativa, estado auditable de publicación.</w:t>
      </w:r>
    </w:p>
    <w:p>
      <w:pPr>
        <w:spacing w:after="120" w:line="240" w:lineRule="auto"/>
      </w:pPr>
      <w:r>
        <w:rPr>
          <w:b w:val="0"/>
          <w:sz w:val="22"/>
        </w:rPr>
        <w:t>Problema: If create/chat/create/deploy paths lack state transitions and audit records, policy breaches and missing evidence follow.</w:t>
      </w:r>
    </w:p>
    <w:p>
      <w:pPr>
        <w:spacing w:after="120" w:line="240" w:lineRule="auto"/>
      </w:pPr>
      <w:r>
        <w:rPr>
          <w:b w:val="0"/>
          <w:sz w:val="22"/>
        </w:rPr>
        <w:t>Estructura: Input · state collection · orchestration · engine execution · policy gate · audit · publish/deploy. Axes: Gate Filter · Priority Queue · Integrity Check · Curation · Public Display · Audit Log · Safety Score.</w:t>
      </w:r>
    </w:p>
    <w:p>
      <w:pPr>
        <w:spacing w:after="120" w:line="240" w:lineRule="auto"/>
      </w:pPr>
      <w:r>
        <w:rPr>
          <w:b w:val="0"/>
          <w:sz w:val="22"/>
        </w:rPr>
        <w:t>Efecto: Structures stability, explainability, cost control, pre-publish review, and provenance versus a single LLM call.</w:t>
      </w:r>
    </w:p>
    <w:p>
      <w:pPr>
        <w:pStyle w:val="Heading1"/>
      </w:pPr>
      <w:r>
        <w:rPr>
          <w:b/>
          <w:sz w:val="28"/>
        </w:rPr>
        <w:t>4.A.2 Patente 02 — Sistema campus de aprendizaje, tareas y debate de agentes AI</w:t>
      </w:r>
    </w:p>
    <w:p>
      <w:pPr>
        <w:spacing w:after="120" w:line="240" w:lineRule="auto"/>
      </w:pPr>
      <w:r>
        <w:rPr>
          <w:b w:val="0"/>
          <w:sz w:val="22"/>
        </w:rPr>
        <w:t>N.º de solicitud 10-2026-0100053.</w:t>
      </w:r>
    </w:p>
    <w:p>
      <w:pPr>
        <w:spacing w:after="120" w:line="240" w:lineRule="auto"/>
      </w:pPr>
      <w:r>
        <w:rPr>
          <w:b w:val="0"/>
          <w:sz w:val="22"/>
        </w:rPr>
        <w:t>Problema: Learning/assignments/debate scatter into one-off prompts and lose growth tracking, public quality, and audit linkage.</w:t>
      </w:r>
    </w:p>
    <w:p>
      <w:pPr>
        <w:spacing w:after="120" w:line="240" w:lineRule="auto"/>
      </w:pPr>
      <w:r>
        <w:rPr>
          <w:b w:val="0"/>
          <w:sz w:val="22"/>
        </w:rPr>
        <w:t>Estructura: Topic Intake → Agent Assignment → Task Run → Debate → Score → Growth → Atelier link.</w:t>
      </w:r>
    </w:p>
    <w:p>
      <w:pPr>
        <w:spacing w:after="120" w:line="240" w:lineRule="auto"/>
      </w:pPr>
      <w:r>
        <w:rPr>
          <w:b w:val="0"/>
          <w:sz w:val="22"/>
        </w:rPr>
        <w:t>Efecto: Keeps learning/debate/growth as reproducible units tied to pre-publish review.</w:t>
      </w:r>
    </w:p>
    <w:p>
      <w:pPr>
        <w:pStyle w:val="Heading1"/>
      </w:pPr>
      <w:r>
        <w:rPr>
          <w:b/>
          <w:sz w:val="28"/>
        </w:rPr>
        <w:t>4.A.3 Patente 03 — Sistema de estudio multi-creador AI</w:t>
      </w:r>
    </w:p>
    <w:p>
      <w:pPr>
        <w:spacing w:after="120" w:line="240" w:lineRule="auto"/>
      </w:pPr>
      <w:r>
        <w:rPr>
          <w:b w:val="0"/>
          <w:sz w:val="22"/>
        </w:rPr>
        <w:t>N.º de solicitud 10-2026-0100113.</w:t>
      </w:r>
    </w:p>
    <w:p>
      <w:pPr>
        <w:spacing w:after="120" w:line="240" w:lineRule="auto"/>
      </w:pPr>
      <w:r>
        <w:rPr>
          <w:b w:val="0"/>
          <w:sz w:val="22"/>
        </w:rPr>
        <w:t>Problema: Collaborative creation separated from engines/review/exhibition collapses canon and provenance.</w:t>
      </w:r>
    </w:p>
    <w:p>
      <w:pPr>
        <w:spacing w:after="120" w:line="240" w:lineRule="auto"/>
      </w:pPr>
      <w:r>
        <w:rPr>
          <w:b w:val="0"/>
          <w:sz w:val="22"/>
        </w:rPr>
        <w:t>Estructura: Project Intake → Team Formation → LIFE Pipeline → Canon Check → Exhibition → Review.</w:t>
      </w:r>
    </w:p>
    <w:p>
      <w:pPr>
        <w:spacing w:after="120" w:line="240" w:lineRule="auto"/>
      </w:pPr>
      <w:r>
        <w:rPr>
          <w:b w:val="0"/>
          <w:sz w:val="22"/>
        </w:rPr>
        <w:t>Efecto: Operates collaboration, review, and exhibition as traceable state.</w:t>
      </w:r>
    </w:p>
    <w:p>
      <w:pPr>
        <w:pStyle w:val="Heading1"/>
      </w:pPr>
      <w:r>
        <w:rPr>
          <w:b/>
          <w:sz w:val="28"/>
        </w:rPr>
        <w:t>4.A.4 Patente 04 — Reconocimiento multi-intención por actos de habla y diálogo adaptativo</w:t>
      </w:r>
    </w:p>
    <w:p>
      <w:pPr>
        <w:spacing w:after="120" w:line="240" w:lineRule="auto"/>
      </w:pPr>
      <w:r>
        <w:rPr>
          <w:b w:val="0"/>
          <w:sz w:val="22"/>
        </w:rPr>
        <w:t>N.º de solicitud 10-2026-0117901.</w:t>
      </w:r>
    </w:p>
    <w:p>
      <w:pPr>
        <w:spacing w:after="120" w:line="240" w:lineRule="auto"/>
      </w:pPr>
      <w:r>
        <w:rPr>
          <w:b w:val="0"/>
          <w:sz w:val="22"/>
        </w:rPr>
        <w:t>Problema: Single-label intent loses stacked intents; ignoring speech acts drives over-empathy.</w:t>
      </w:r>
    </w:p>
    <w:p>
      <w:pPr>
        <w:spacing w:after="120" w:line="240" w:lineRule="auto"/>
      </w:pPr>
      <w:r>
        <w:rPr>
          <w:b w:val="0"/>
          <w:sz w:val="22"/>
        </w:rPr>
        <w:t>Estructura: Intent vector P · speech-act vector S · NunchiContext · prompt injection · margin-M branching · EMA accumulation.</w:t>
      </w:r>
    </w:p>
    <w:p>
      <w:pPr>
        <w:spacing w:after="120" w:line="240" w:lineRule="auto"/>
      </w:pPr>
      <w:r>
        <w:rPr>
          <w:b w:val="0"/>
          <w:sz w:val="22"/>
        </w:rPr>
        <w:t>Efecto: Preserves multi-intent, strengthens indirect-emotion capture, clarifies under uncertainty, tracks intent drift.</w:t>
      </w:r>
    </w:p>
    <w:p>
      <w:pPr>
        <w:pStyle w:val="Heading1"/>
      </w:pPr>
      <w:r>
        <w:rPr>
          <w:b/>
          <w:sz w:val="28"/>
        </w:rPr>
        <w:t>4.A.5 Patente 05 — Recolección, ensamblaje e inyección de contexto multi-fuente</w:t>
      </w:r>
    </w:p>
    <w:p>
      <w:pPr>
        <w:spacing w:after="120" w:line="240" w:lineRule="auto"/>
      </w:pPr>
      <w:r>
        <w:rPr>
          <w:b w:val="0"/>
          <w:sz w:val="22"/>
        </w:rPr>
        <w:t>N.º de solicitud 10-2026-0117903.</w:t>
      </w:r>
    </w:p>
    <w:p>
      <w:pPr>
        <w:spacing w:after="120" w:line="240" w:lineRule="auto"/>
      </w:pPr>
      <w:r>
        <w:rPr>
          <w:b w:val="0"/>
          <w:sz w:val="22"/>
        </w:rPr>
        <w:t>Problema: Short-term chat overwrites SOUL/IDENTITY/chronicle; each app scope needs a different context pack.</w:t>
      </w:r>
    </w:p>
    <w:p>
      <w:pPr>
        <w:spacing w:after="120" w:line="240" w:lineRule="auto"/>
      </w:pPr>
      <w:r>
        <w:rPr>
          <w:b w:val="0"/>
          <w:sz w:val="22"/>
        </w:rPr>
        <w:t>Estructura: Parallel multi-source collect → token budget → app-scope branch → prompt-pack inject → PII-free fingerprint.</w:t>
      </w:r>
    </w:p>
    <w:p>
      <w:pPr>
        <w:spacing w:after="120" w:line="240" w:lineRule="auto"/>
      </w:pPr>
      <w:r>
        <w:rPr>
          <w:b w:val="0"/>
          <w:sz w:val="22"/>
        </w:rPr>
        <w:t>Efecto: Identity retention, per-scope budgets, quality analysis with non-storing PII fingerprints.</w:t>
      </w:r>
    </w:p>
    <w:p>
      <w:pPr>
        <w:pStyle w:val="Heading1"/>
      </w:pPr>
      <w:r>
        <w:rPr>
          <w:b/>
          <w:sz w:val="28"/>
        </w:rPr>
        <w:t>4.A.6 Patente 06 — Gobernanza del ciclo de vida del agente</w:t>
      </w:r>
    </w:p>
    <w:p>
      <w:pPr>
        <w:spacing w:after="120" w:line="240" w:lineRule="auto"/>
      </w:pPr>
      <w:r>
        <w:rPr>
          <w:b w:val="0"/>
          <w:sz w:val="22"/>
        </w:rPr>
        <w:t>N.º de solicitud 10-2026-0117904.</w:t>
      </w:r>
    </w:p>
    <w:p>
      <w:pPr>
        <w:spacing w:after="120" w:line="240" w:lineRule="auto"/>
      </w:pPr>
      <w:r>
        <w:rPr>
          <w:b w:val="0"/>
          <w:sz w:val="22"/>
        </w:rPr>
        <w:t>Problema: Delete-versus-unlimited-publish binaries destroy IP/relationships or leave unsafe agents live.</w:t>
      </w:r>
    </w:p>
    <w:p>
      <w:pPr>
        <w:spacing w:after="120" w:line="240" w:lineRule="auto"/>
      </w:pPr>
      <w:r>
        <w:rPr>
          <w:b w:val="0"/>
          <w:sz w:val="22"/>
        </w:rPr>
        <w:t>Estructura: birth·growth·maturity·decline·extinction · scores/violations · gates · hold/recover · header propagation.</w:t>
      </w:r>
    </w:p>
    <w:p>
      <w:pPr>
        <w:spacing w:after="120" w:line="240" w:lineRule="auto"/>
      </w:pPr>
      <w:r>
        <w:rPr>
          <w:b w:val="0"/>
          <w:sz w:val="22"/>
        </w:rPr>
        <w:t>Efecto: Isolate risk while preserving IP/relationships; Chronicle promotion via growth and public-quality gates.</w:t>
      </w:r>
    </w:p>
    <w:p>
      <w:pPr>
        <w:pStyle w:val="Heading1"/>
      </w:pPr>
      <w:r>
        <w:rPr>
          <w:b/>
          <w:sz w:val="28"/>
        </w:rPr>
        <w:t>4.A.7 Patente 07 — Procedencia jerárquica de actos de agente AI en wearables AR</w:t>
      </w:r>
    </w:p>
    <w:p>
      <w:pPr>
        <w:spacing w:after="120" w:line="240" w:lineRule="auto"/>
      </w:pPr>
      <w:r>
        <w:rPr>
          <w:b w:val="0"/>
          <w:sz w:val="22"/>
        </w:rPr>
        <w:t>N.º de solicitud 10-2026-0121013.</w:t>
      </w:r>
    </w:p>
    <w:p>
      <w:pPr>
        <w:spacing w:after="120" w:line="240" w:lineRule="auto"/>
      </w:pPr>
      <w:r>
        <w:rPr>
          <w:b w:val="0"/>
          <w:sz w:val="22"/>
        </w:rPr>
        <w:t>Problema: A single capture-time signature does not separate inference (M2) and display (M3) provenance.</w:t>
      </w:r>
    </w:p>
    <w:p>
      <w:pPr>
        <w:spacing w:after="120" w:line="240" w:lineRule="auto"/>
      </w:pPr>
      <w:r>
        <w:rPr>
          <w:b w:val="0"/>
          <w:sz w:val="22"/>
        </w:rPr>
        <w:t>Estructura: M1 capture → M2 agent action (c2pa.ingredient.v3→M1) → M3 overlay (→M1·M2) · COSE_Sign1·X.509·hash offline verify.</w:t>
      </w:r>
    </w:p>
    <w:p>
      <w:pPr>
        <w:spacing w:after="120" w:line="240" w:lineRule="auto"/>
      </w:pPr>
      <w:r>
        <w:rPr>
          <w:b w:val="0"/>
          <w:sz w:val="22"/>
        </w:rPr>
        <w:t>Efecto: Offline verify, per-stage tamper detection, multi-agent trust chain, capture–composite loop.</w:t>
      </w:r>
    </w:p>
    <w:p>
      <w:pPr>
        <w:pStyle w:val="Heading1"/>
      </w:pPr>
      <w:r>
        <w:rPr>
          <w:b/>
          <w:sz w:val="28"/>
        </w:rPr>
        <w:t>4.A.8 Patente 08 — Generación media de persona en 3 carriles SOUL·IDENTITY y registro de procedencia</w:t>
      </w:r>
    </w:p>
    <w:p>
      <w:pPr>
        <w:spacing w:after="120" w:line="240" w:lineRule="auto"/>
      </w:pPr>
      <w:r>
        <w:rPr>
          <w:b w:val="0"/>
          <w:sz w:val="22"/>
        </w:rPr>
        <w:t>N.º de solicitud 10-2026-0121018.</w:t>
      </w:r>
    </w:p>
    <w:p>
      <w:pPr>
        <w:spacing w:after="120" w:line="240" w:lineRule="auto"/>
      </w:pPr>
      <w:r>
        <w:rPr>
          <w:b w:val="0"/>
          <w:sz w:val="22"/>
        </w:rPr>
        <w:t>Problema: Without persona pre-load, identity collapses across lanes; signing unverified outputs contaminates provenance.</w:t>
      </w:r>
    </w:p>
    <w:p>
      <w:pPr>
        <w:spacing w:after="120" w:line="240" w:lineRule="auto"/>
      </w:pPr>
      <w:r>
        <w:rPr>
          <w:b w:val="0"/>
          <w:sz w:val="22"/>
        </w:rPr>
        <w:t>Estructura: Persona loader → lane router (same personaPackHash) → fidelity review (pass/requeue/block) → C2PA v2.4 only on pass.</w:t>
      </w:r>
    </w:p>
    <w:p>
      <w:pPr>
        <w:spacing w:after="120" w:line="240" w:lineRule="auto"/>
      </w:pPr>
      <w:r>
        <w:rPr>
          <w:b w:val="0"/>
          <w:sz w:val="22"/>
        </w:rPr>
        <w:t>Efecto: Cross-lane identity, automatic requeue, provenance only on passed outputs.</w:t>
      </w:r>
    </w:p>
    <w:p>
      <w:pPr>
        <w:pStyle w:val="Heading1"/>
      </w:pPr>
      <w:r>
        <w:rPr>
          <w:b/>
          <w:sz w:val="28"/>
        </w:rPr>
        <w:t>4.A.9 Patente 09 — Puerta de fase del registro de motores, traza de candidatos y bloqueo de seguridad pre-LLM</w:t>
      </w:r>
    </w:p>
    <w:p>
      <w:pPr>
        <w:spacing w:after="120" w:line="240" w:lineRule="auto"/>
      </w:pPr>
      <w:r>
        <w:rPr>
          <w:b w:val="0"/>
          <w:sz w:val="22"/>
        </w:rPr>
        <w:t>N.º de solicitud 10-2026-0123982.</w:t>
      </w:r>
    </w:p>
    <w:p>
      <w:pPr>
        <w:spacing w:after="120" w:line="240" w:lineRule="auto"/>
      </w:pPr>
      <w:r>
        <w:rPr>
          <w:b w:val="0"/>
          <w:sz w:val="22"/>
        </w:rPr>
        <w:t>Problema: All-engine call cost, no uncalled-engine traces, wasteful post-hoc safety, fragmented logs.</w:t>
      </w:r>
    </w:p>
    <w:p>
      <w:pPr>
        <w:spacing w:after="120" w:line="240" w:lineRule="auto"/>
      </w:pPr>
      <w:r>
        <w:rPr>
          <w:b w:val="0"/>
          <w:sz w:val="22"/>
        </w:rPr>
        <w:t>Estructura: Per-turn correlation ID · phase gate · candidate-only cost-0 traces · pre-LLM safety records unsent-token estimates · no downstream LLM.</w:t>
      </w:r>
    </w:p>
    <w:p>
      <w:pPr>
        <w:spacing w:after="120" w:line="240" w:lineRule="auto"/>
      </w:pPr>
      <w:r>
        <w:rPr>
          <w:b w:val="0"/>
          <w:sz w:val="22"/>
        </w:rPr>
        <w:t>Efecto: Reconstruct call/skip/block under one correlation ID. Spec metrics are applicant self-measurement, not third-party grades.</w:t>
      </w:r>
    </w:p>
    <w:p>
      <w:pPr>
        <w:pStyle w:val="Heading1"/>
      </w:pPr>
      <w:r>
        <w:rPr>
          <w:b/>
          <w:sz w:val="28"/>
        </w:rPr>
        <w:t>4.A.10 Patente 10 — Puerta previa multi-superficie para menores y traza de auditoría</w:t>
      </w:r>
    </w:p>
    <w:p>
      <w:pPr>
        <w:spacing w:after="120" w:line="240" w:lineRule="auto"/>
      </w:pPr>
      <w:r>
        <w:rPr>
          <w:b w:val="0"/>
          <w:sz w:val="22"/>
        </w:rPr>
        <w:t>N.º de solicitud 10-2026-0124000.</w:t>
      </w:r>
    </w:p>
    <w:p>
      <w:pPr>
        <w:spacing w:after="120" w:line="240" w:lineRule="auto"/>
      </w:pPr>
      <w:r>
        <w:rPr>
          <w:b w:val="0"/>
          <w:sz w:val="22"/>
        </w:rPr>
        <w:t>Problema: Cross-surface leak, UI-only blocks that still call APIs, inconsistent minor determination, mutable logs.</w:t>
      </w:r>
    </w:p>
    <w:p>
      <w:pPr>
        <w:spacing w:after="120" w:line="240" w:lineRule="auto"/>
      </w:pPr>
      <w:r>
        <w:rPr>
          <w:b w:val="0"/>
          <w:sz w:val="22"/>
        </w:rPr>
        <w:t>Estructura: Single minor profile · per-API-path surface pre-eval · on block no downstream call · audit reason·surface·correlation·candidate-only.</w:t>
      </w:r>
    </w:p>
    <w:p>
      <w:pPr>
        <w:spacing w:after="120" w:line="240" w:lineRule="auto"/>
      </w:pPr>
      <w:r>
        <w:rPr>
          <w:b w:val="0"/>
          <w:sz w:val="22"/>
        </w:rPr>
        <w:t>Efecto: Reduces leak and cosmetic blocks; preserves pre-block evidence.</w:t>
      </w:r>
    </w:p>
    <w:p>
      <w:pPr>
        <w:pStyle w:val="Heading1"/>
      </w:pPr>
      <w:r>
        <w:rPr>
          <w:b/>
          <w:sz w:val="28"/>
        </w:rPr>
        <w:t>4.B Derechos de autor — cinco expresiones de producto/norma</w:t>
      </w:r>
    </w:p>
    <w:p>
      <w:pPr>
        <w:spacing w:after="120" w:line="240" w:lineRule="auto"/>
      </w:pPr>
      <w:r>
        <w:rPr>
          <w:b w:val="0"/>
          <w:sz w:val="22"/>
        </w:rPr>
        <w:t>Copyright is not a list; it is the expression axis of core technology. Patents protect methods/systems; copyrights register the program and literary expressions that implement them. Authority: Korea Copyright Commission · Copyright Act Article 53. Certificate PDFs verified.</w:t>
      </w:r>
    </w:p>
    <w:p>
      <w:pPr>
        <w:pStyle w:val="Heading1"/>
      </w:pPr>
      <w:r>
        <w:rPr>
          <w:b/>
          <w:sz w:val="28"/>
        </w:rPr>
        <w:t>4.B.1 C-2026-036487 — Portal de autenticación de procedencia de medios (programa)</w:t>
      </w:r>
    </w:p>
    <w:p>
      <w:pPr>
        <w:spacing w:after="120" w:line="240" w:lineRule="auto"/>
      </w:pPr>
      <w:r>
        <w:rPr>
          <w:b w:val="0"/>
          <w:sz w:val="22"/>
        </w:rPr>
        <w:t>Registered 2026-07-23 · created 2026-07-05 · author XenLook Inc.</w:t>
      </w:r>
    </w:p>
    <w:p>
      <w:pPr>
        <w:spacing w:after="120" w:line="240" w:lineRule="auto"/>
      </w:pPr>
      <w:r>
        <w:rPr>
          <w:b w:val="0"/>
          <w:sz w:val="22"/>
        </w:rPr>
        <w:t>Role: C2PA embed/verify/conformance, Trust List/CA application tracking UI, transparency dashboard. Public expression of patents 07·08. Trust List and Generator remain under review in product copy.</w:t>
      </w:r>
    </w:p>
    <w:p>
      <w:pPr>
        <w:pStyle w:val="Heading1"/>
      </w:pPr>
      <w:r>
        <w:rPr>
          <w:b/>
          <w:sz w:val="28"/>
        </w:rPr>
        <w:t>4.B.2 C-2026-037388 — XenLook On (programa)</w:t>
      </w:r>
    </w:p>
    <w:p>
      <w:pPr>
        <w:spacing w:after="120" w:line="240" w:lineRule="auto"/>
      </w:pPr>
      <w:r>
        <w:rPr>
          <w:b w:val="0"/>
          <w:sz w:val="22"/>
        </w:rPr>
        <w:t>Registered 2026-07-30 · XenLook On — agent chat, gallery, profile · author XenLook Inc.</w:t>
      </w:r>
    </w:p>
    <w:p>
      <w:pPr>
        <w:spacing w:after="120" w:line="240" w:lineRule="auto"/>
      </w:pPr>
      <w:r>
        <w:rPr>
          <w:b w:val="0"/>
          <w:sz w:val="22"/>
        </w:rPr>
        <w:t>Role: 1:1 chat shell, gallery/profile/chronicle tabs, onboarding — primary dialogue surface for patents 04·05·06·09·10.</w:t>
      </w:r>
    </w:p>
    <w:p>
      <w:pPr>
        <w:pStyle w:val="Heading1"/>
      </w:pPr>
      <w:r>
        <w:rPr>
          <w:b/>
          <w:sz w:val="28"/>
        </w:rPr>
        <w:t>4.B.3 C-2026-037389 — XenLook Landing (programa)</w:t>
      </w:r>
    </w:p>
    <w:p>
      <w:pPr>
        <w:spacing w:after="120" w:line="240" w:lineRule="auto"/>
      </w:pPr>
      <w:r>
        <w:rPr>
          <w:b w:val="0"/>
          <w:sz w:val="22"/>
        </w:rPr>
        <w:t>Registered 2026-07-30 · public marketing, compliance, blog surface · author XenLook Inc.</w:t>
      </w:r>
    </w:p>
    <w:p>
      <w:pPr>
        <w:spacing w:after="120" w:line="240" w:lineRule="auto"/>
      </w:pPr>
      <w:r>
        <w:rPr>
          <w:b w:val="0"/>
          <w:sz w:val="22"/>
        </w:rPr>
        <w:t>Role: public entry for product, policy, certification hub, and IP disclosure — carrier of Core C trust status.</w:t>
      </w:r>
    </w:p>
    <w:p>
      <w:pPr>
        <w:pStyle w:val="Heading1"/>
      </w:pPr>
      <w:r>
        <w:rPr>
          <w:b/>
          <w:sz w:val="28"/>
        </w:rPr>
        <w:t>4.B.4 C-2026-037390 — XenLook Signal (programa)</w:t>
      </w:r>
    </w:p>
    <w:p>
      <w:pPr>
        <w:spacing w:after="120" w:line="240" w:lineRule="auto"/>
      </w:pPr>
      <w:r>
        <w:rPr>
          <w:b w:val="0"/>
          <w:sz w:val="22"/>
        </w:rPr>
        <w:t>Registered 2026-07-30 · AI safety simulation and technical Q archive · author XenLook Inc.</w:t>
      </w:r>
    </w:p>
    <w:p>
      <w:pPr>
        <w:spacing w:after="120" w:line="240" w:lineRule="auto"/>
      </w:pPr>
      <w:r>
        <w:rPr>
          <w:b w:val="0"/>
          <w:sz w:val="22"/>
        </w:rPr>
        <w:t>Role: safety/tech Q and archive surface aligned with patent 01 public audit/verification.</w:t>
      </w:r>
    </w:p>
    <w:p>
      <w:pPr>
        <w:pStyle w:val="Heading1"/>
      </w:pPr>
      <w:r>
        <w:rPr>
          <w:b/>
          <w:sz w:val="28"/>
        </w:rPr>
        <w:t>4.B.5 C-2026-037563 — Constitución del agente AI (obra literaria)</w:t>
      </w:r>
    </w:p>
    <w:p>
      <w:pPr>
        <w:spacing w:after="120" w:line="240" w:lineRule="auto"/>
      </w:pPr>
      <w:r>
        <w:rPr>
          <w:b w:val="0"/>
          <w:sz w:val="22"/>
        </w:rPr>
        <w:t>Registered 2026-07-31 · created 2026-05-18 · published 2026-06-01 · joint authors Yang Yeon-kyung · Nam Hyun-woo.</w:t>
      </w:r>
    </w:p>
    <w:p>
      <w:pPr>
        <w:spacing w:after="120" w:line="240" w:lineRule="auto"/>
      </w:pPr>
      <w:r>
        <w:rPr>
          <w:b w:val="0"/>
          <w:sz w:val="22"/>
        </w:rPr>
        <w:t>Role: literary expression of agent operating/ethics/identity norms; links to patent 09 constitutional pre-LLM safety. Registered as literary work, separate from program copyrights.</w:t>
      </w:r>
    </w:p>
    <w:p>
      <w:pPr>
        <w:pStyle w:val="Heading1"/>
      </w:pPr>
      <w:r>
        <w:rPr>
          <w:b/>
          <w:sz w:val="28"/>
        </w:rPr>
        <w:t>4.C Confianza y gobernanza (tecnología central · detalle)</w:t>
      </w:r>
    </w:p>
    <w:p>
      <w:pPr>
        <w:spacing w:after="120" w:line="240" w:lineRule="auto"/>
      </w:pPr>
      <w:r>
        <w:rPr>
          <w:b w:val="0"/>
          <w:sz w:val="22"/>
        </w:rPr>
        <w:t>Trust and governance are core technology, not an afterthought appendix. If patents and copyrights answer what we built, this section answers how we verify, disclose, and operate review status — without mixing statuses into fake Certified claims.</w:t>
      </w:r>
    </w:p>
    <w:p>
      <w:pPr>
        <w:pStyle w:val="Heading1"/>
      </w:pPr>
      <w:r>
        <w:rPr>
          <w:b/>
          <w:sz w:val="28"/>
        </w:rPr>
        <w:t>4.C.1 Definiciones de estado (fijas)</w:t>
      </w:r>
    </w:p>
    <w:p>
      <w:pPr>
        <w:pStyle w:val="ListBullet"/>
      </w:pPr>
      <w:r>
        <w:rPr>
          <w:b w:val="0"/>
          <w:sz w:val="22"/>
        </w:rPr>
        <w:t>Self-assessment — internal review and public evidence pack done; not a third-party certificate</w:t>
      </w:r>
    </w:p>
    <w:p>
      <w:pPr>
        <w:pStyle w:val="ListBullet"/>
      </w:pPr>
      <w:r>
        <w:rPr>
          <w:b w:val="0"/>
          <w:sz w:val="22"/>
        </w:rPr>
        <w:t>Listed — published on an external registry or membership roll</w:t>
      </w:r>
    </w:p>
    <w:p>
      <w:pPr>
        <w:pStyle w:val="ListBullet"/>
      </w:pPr>
      <w:r>
        <w:rPr>
          <w:b w:val="0"/>
          <w:sz w:val="22"/>
        </w:rPr>
        <w:t>Under review — external review in progress; not approved/listed complete</w:t>
      </w:r>
    </w:p>
    <w:p>
      <w:pPr>
        <w:pStyle w:val="ListBullet"/>
      </w:pPr>
      <w:r>
        <w:rPr>
          <w:b w:val="0"/>
          <w:sz w:val="22"/>
        </w:rPr>
        <w:t>Roadmap — schedule/plan only or not yet started</w:t>
      </w:r>
    </w:p>
    <w:p>
      <w:pPr>
        <w:pStyle w:val="ListBullet"/>
      </w:pPr>
      <w:r>
        <w:rPr>
          <w:b w:val="0"/>
          <w:sz w:val="22"/>
        </w:rPr>
        <w:t>Not held — forbid Certified / CE affixed / Trust List listing-complete claims</w:t>
      </w:r>
    </w:p>
    <w:p>
      <w:pPr>
        <w:pStyle w:val="Heading1"/>
      </w:pPr>
      <w:r>
        <w:rPr>
          <w:b/>
          <w:sz w:val="28"/>
        </w:rPr>
        <w:t>4.C.2 Operación de seguridad y calidad (gobernanza en producto)</w:t>
      </w:r>
    </w:p>
    <w:p>
      <w:pPr>
        <w:spacing w:after="120" w:line="240" w:lineRule="auto"/>
      </w:pPr>
      <w:r>
        <w:rPr>
          <w:b w:val="0"/>
          <w:sz w:val="22"/>
        </w:rPr>
        <w:t>Dialogue turns pass safety and engine-registry phase gates (patent 09). Minors are blocked by surface/API-path pre-gates with no downstream call (patent 10). Persona media receives provenance signatures only after fidelity pass (patent 08). Pre-publish verification and audit records follow patent 01.</w:t>
      </w:r>
    </w:p>
    <w:p>
      <w:pPr>
        <w:spacing w:after="120" w:line="240" w:lineRule="auto"/>
      </w:pPr>
      <w:r>
        <w:rPr>
          <w:b w:val="0"/>
          <w:sz w:val="22"/>
        </w:rPr>
        <w:t>Quality rubrics (empathy/greet/identity minima, no AI self-claims) and dual-LLM terminal chains are operational policy — not a product-100 or legal-clearance claim.</w:t>
      </w:r>
    </w:p>
    <w:p>
      <w:pPr>
        <w:pStyle w:val="Heading1"/>
      </w:pPr>
      <w:r>
        <w:rPr>
          <w:b/>
          <w:sz w:val="28"/>
        </w:rPr>
        <w:t>4.C.3 Gobernanza de procedencia de medios (C2PA)</w:t>
      </w:r>
    </w:p>
    <w:p>
      <w:pPr>
        <w:spacing w:after="120" w:line="240" w:lineRule="auto"/>
      </w:pPr>
      <w:r>
        <w:rPr>
          <w:b w:val="0"/>
          <w:sz w:val="22"/>
        </w:rPr>
        <w:t>C2PA Certification Authority Agreement is signed (2026-06-13). Territory is Korea→Japan (KR→JP); no global CA claim.</w:t>
      </w:r>
    </w:p>
    <w:p>
      <w:pPr>
        <w:spacing w:after="120" w:line="240" w:lineRule="auto"/>
      </w:pPr>
      <w:r>
        <w:rPr>
          <w:b w:val="0"/>
          <w:sz w:val="22"/>
        </w:rPr>
        <w:t>Trust List listing and Generator programs are under review. Public copy, portal, and this paper use only under-review wording — never listing-complete or approved.</w:t>
      </w:r>
    </w:p>
    <w:p>
      <w:pPr>
        <w:spacing w:after="120" w:line="240" w:lineRule="auto"/>
      </w:pPr>
      <w:r>
        <w:rPr>
          <w:b w:val="0"/>
          <w:sz w:val="22"/>
        </w:rPr>
        <w:t>Copyrighted portal (C-2026-036487) is the public expression of this governance. Hierarchical manifests (M1–M3) and three-lane signing gates connect to patents 07·08.</w:t>
      </w:r>
    </w:p>
    <w:p>
      <w:pPr>
        <w:pStyle w:val="Heading1"/>
      </w:pPr>
      <w:r>
        <w:rPr>
          <w:b/>
          <w:sz w:val="28"/>
        </w:rPr>
        <w:t>4.C.4 Marcos externos y membresías (estado detallado)</w:t>
      </w:r>
    </w:p>
    <w:p>
      <w:pPr>
        <w:spacing w:after="120" w:line="240" w:lineRule="auto"/>
      </w:pPr>
      <w:r>
        <w:rPr>
          <w:b w:val="0"/>
          <w:sz w:val="22"/>
        </w:rPr>
        <w:t>Hubs: https://xenlook.com/ai-certification · https://xenlook.com/compliance</w:t>
      </w:r>
    </w:p>
    <w:p>
      <w:pPr>
        <w:pStyle w:val="ListBullet"/>
      </w:pPr>
      <w:r>
        <w:rPr>
          <w:b w:val="0"/>
          <w:sz w:val="22"/>
        </w:rPr>
        <w:t>IMDA AI Verify (Singapore) — 11-principle self-assessment complete · evidence pack in CI · not IMDA registry certification · disclosed as self-assessment</w:t>
      </w:r>
    </w:p>
    <w:p>
      <w:pPr>
        <w:pStyle w:val="ListBullet"/>
      </w:pPr>
      <w:r>
        <w:rPr>
          <w:b w:val="0"/>
          <w:sz w:val="22"/>
        </w:rPr>
        <w:t>TTA genAI / Trust Ops — self-assessment and ops mapping · no TTA CAT completion claim · CAT on roadmap when scheduled</w:t>
      </w:r>
    </w:p>
    <w:p>
      <w:pPr>
        <w:pStyle w:val="ListBullet"/>
      </w:pPr>
      <w:r>
        <w:rPr>
          <w:b w:val="0"/>
          <w:sz w:val="22"/>
        </w:rPr>
        <w:t>NIST AI RMF — function/risk mapping evidence · no NIST certificate held</w:t>
      </w:r>
    </w:p>
    <w:p>
      <w:pPr>
        <w:pStyle w:val="ListBullet"/>
      </w:pPr>
      <w:r>
        <w:rPr>
          <w:b w:val="0"/>
          <w:sz w:val="22"/>
        </w:rPr>
        <w:t>OWASP LLM Top 10 — threat-to-control mapping · not a certification program</w:t>
      </w:r>
    </w:p>
    <w:p>
      <w:pPr>
        <w:pStyle w:val="ListBullet"/>
      </w:pPr>
      <w:r>
        <w:rPr>
          <w:b w:val="0"/>
          <w:sz w:val="22"/>
        </w:rPr>
        <w:t>CSA STAR Level 1 — registry listing · self-assessment character · listed 2026-06-12 publication</w:t>
      </w:r>
    </w:p>
    <w:p>
      <w:pPr>
        <w:pStyle w:val="ListBullet"/>
      </w:pPr>
      <w:r>
        <w:rPr>
          <w:b w:val="0"/>
          <w:sz w:val="22"/>
        </w:rPr>
        <w:t>CAI membership — listed member</w:t>
      </w:r>
    </w:p>
    <w:p>
      <w:pPr>
        <w:pStyle w:val="ListBullet"/>
      </w:pPr>
      <w:r>
        <w:rPr>
          <w:b w:val="0"/>
          <w:sz w:val="22"/>
        </w:rPr>
        <w:t>C2PA CA Agreement — signed · Trust List &amp; Generator under review (see 4.C.3)</w:t>
      </w:r>
    </w:p>
    <w:p>
      <w:pPr>
        <w:pStyle w:val="ListBullet"/>
      </w:pPr>
      <w:r>
        <w:rPr>
          <w:b w:val="0"/>
          <w:sz w:val="22"/>
        </w:rPr>
        <w:t>NVIDIA Inception — Stage 1</w:t>
      </w:r>
    </w:p>
    <w:p>
      <w:pPr>
        <w:pStyle w:val="ListBullet"/>
      </w:pPr>
      <w:r>
        <w:rPr>
          <w:b w:val="0"/>
          <w:sz w:val="22"/>
        </w:rPr>
        <w:t>EU CE / CRA — readiness residual tracking · no CE marking / DoC-complete claim</w:t>
      </w:r>
    </w:p>
    <w:p>
      <w:pPr>
        <w:pStyle w:val="ListBullet"/>
      </w:pPr>
      <w:r>
        <w:rPr>
          <w:b w:val="0"/>
          <w:sz w:val="22"/>
        </w:rPr>
        <w:t>WCAG 2.2 AA — internal accessibility gate · not a substitute for third-party audit certificates</w:t>
      </w:r>
    </w:p>
    <w:p>
      <w:pPr>
        <w:pStyle w:val="ListBullet"/>
      </w:pPr>
      <w:r>
        <w:rPr>
          <w:b w:val="0"/>
          <w:sz w:val="22"/>
        </w:rPr>
        <w:t>Korea AI Basic Act checklist — internal review and user notices · not a government certification</w:t>
      </w:r>
    </w:p>
    <w:p>
      <w:pPr>
        <w:pStyle w:val="ListBullet"/>
      </w:pPr>
      <w:r>
        <w:rPr>
          <w:b w:val="0"/>
          <w:sz w:val="22"/>
        </w:rPr>
        <w:t>Japan AI guidelines · US disclosures · EU Art.50 work — documented in jurisdiction hubs · not Certified-complete</w:t>
      </w:r>
    </w:p>
    <w:p>
      <w:pPr>
        <w:pStyle w:val="Heading1"/>
      </w:pPr>
      <w:r>
        <w:rPr>
          <w:b/>
          <w:sz w:val="28"/>
        </w:rPr>
        <w:t>4.C.5 Enlace de gobernanza con patentes y derechos de autor</w:t>
      </w:r>
    </w:p>
    <w:p>
      <w:pPr>
        <w:pStyle w:val="ListBullet"/>
      </w:pPr>
      <w:r>
        <w:rPr>
          <w:b w:val="0"/>
          <w:sz w:val="22"/>
        </w:rPr>
        <w:t>Pre-LLM safety &amp; uncalled-engine trace (patent 09) ↔ Constitution · On quality policy</w:t>
      </w:r>
    </w:p>
    <w:p>
      <w:pPr>
        <w:pStyle w:val="ListBullet"/>
      </w:pPr>
      <w:r>
        <w:rPr>
          <w:b w:val="0"/>
          <w:sz w:val="22"/>
        </w:rPr>
        <w:t>Minor surface gate (patent 10) ↔ Landing/On notices and gate UI</w:t>
      </w:r>
    </w:p>
    <w:p>
      <w:pPr>
        <w:pStyle w:val="ListBullet"/>
      </w:pPr>
      <w:r>
        <w:rPr>
          <w:b w:val="0"/>
          <w:sz w:val="22"/>
        </w:rPr>
        <w:t>Provenance M1–M3 · three-lane signing (patents 07·08) ↔ C2PA portal copyright · Trust List under-review disclosure</w:t>
      </w:r>
    </w:p>
    <w:p>
      <w:pPr>
        <w:pStyle w:val="ListBullet"/>
      </w:pPr>
      <w:r>
        <w:rPr>
          <w:b w:val="0"/>
          <w:sz w:val="22"/>
        </w:rPr>
        <w:t>Pre-publish verify/audit (patent 01) ↔ Signal · Landing compliance surfaces</w:t>
      </w:r>
    </w:p>
    <w:p>
      <w:pPr>
        <w:pStyle w:val="ListBullet"/>
      </w:pPr>
      <w:r>
        <w:rPr>
          <w:b w:val="0"/>
          <w:sz w:val="22"/>
        </w:rPr>
        <w:t>Framework self-assessment/listed/under-review table (4.C.4) ↔ /ai-certification hub</w:t>
      </w:r>
    </w:p>
    <w:p>
      <w:pPr>
        <w:pStyle w:val="Heading1"/>
      </w:pPr>
      <w:r>
        <w:rPr>
          <w:b/>
          <w:sz w:val="28"/>
        </w:rPr>
        <w:t>5. Cómo la tecnología central ensambla el producto</w:t>
      </w:r>
    </w:p>
    <w:p>
      <w:pPr>
        <w:pStyle w:val="ListBullet"/>
      </w:pPr>
      <w:r>
        <w:rPr>
          <w:b w:val="0"/>
          <w:sz w:val="22"/>
        </w:rPr>
        <w:t>Partner chat (On copyright): patents 04·05·06·09·10 + 4.C.2 safety/quality</w:t>
      </w:r>
    </w:p>
    <w:p>
      <w:pPr>
        <w:pStyle w:val="ListBullet"/>
      </w:pPr>
      <w:r>
        <w:rPr>
          <w:b w:val="0"/>
          <w:sz w:val="22"/>
        </w:rPr>
        <w:t>Media/gallery: patents 08(+07) + C2PA portal copyright + 4.C.3 under-review disclosure</w:t>
      </w:r>
    </w:p>
    <w:p>
      <w:pPr>
        <w:pStyle w:val="ListBullet"/>
      </w:pPr>
      <w:r>
        <w:rPr>
          <w:b w:val="0"/>
          <w:sz w:val="22"/>
        </w:rPr>
        <w:t>Campus/studio: patents 02·03 + patent 01 pre-publish verification</w:t>
      </w:r>
    </w:p>
    <w:p>
      <w:pPr>
        <w:pStyle w:val="ListBullet"/>
      </w:pPr>
      <w:r>
        <w:rPr>
          <w:b w:val="0"/>
          <w:sz w:val="22"/>
        </w:rPr>
        <w:t>Public trust hub (Landing copyright): 4.C.4 framework detail + IP disclosure</w:t>
      </w:r>
    </w:p>
    <w:p>
      <w:pPr>
        <w:pStyle w:val="Heading1"/>
      </w:pPr>
      <w:r>
        <w:rPr>
          <w:b/>
          <w:sz w:val="28"/>
        </w:rPr>
        <w:t>6. Marca</w:t>
      </w:r>
    </w:p>
    <w:p>
      <w:pPr>
        <w:pStyle w:val="ListBullet"/>
      </w:pPr>
      <w:r>
        <w:rPr>
          <w:b w:val="0"/>
          <w:sz w:val="22"/>
        </w:rPr>
        <w:t>Mark: XENLOOK wordmark</w:t>
      </w:r>
    </w:p>
    <w:p>
      <w:pPr>
        <w:pStyle w:val="ListBullet"/>
      </w:pPr>
      <w:r>
        <w:rPr>
          <w:b w:val="0"/>
          <w:sz w:val="22"/>
        </w:rPr>
        <w:t>Application No.: 40-2026-0119385</w:t>
      </w:r>
    </w:p>
    <w:p>
      <w:pPr>
        <w:pStyle w:val="ListBullet"/>
      </w:pPr>
      <w:r>
        <w:rPr>
          <w:b w:val="0"/>
          <w:sz w:val="22"/>
        </w:rPr>
        <w:t>Receipt No.: 1-1-2026-0720692-53 · filed 2026-06-13</w:t>
      </w:r>
    </w:p>
    <w:p>
      <w:pPr>
        <w:pStyle w:val="ListBullet"/>
      </w:pPr>
      <w:r>
        <w:rPr>
          <w:b w:val="0"/>
          <w:sz w:val="22"/>
        </w:rPr>
        <w:t>Document: trademark application (3 classes including Class 09)</w:t>
      </w:r>
    </w:p>
    <w:p>
      <w:pPr>
        <w:pStyle w:val="ListBullet"/>
      </w:pPr>
      <w:r>
        <w:rPr>
          <w:b w:val="0"/>
          <w:sz w:val="22"/>
        </w:rPr>
        <w:t>Status: filed · not registered</w:t>
      </w:r>
    </w:p>
    <w:p>
      <w:pPr>
        <w:pStyle w:val="Heading1"/>
      </w:pPr>
      <w:r>
        <w:rPr>
          <w:b/>
          <w:sz w:val="28"/>
        </w:rPr>
        <w:t>7. Alcance y límites</w:t>
      </w:r>
    </w:p>
    <w:p>
      <w:pPr>
        <w:pStyle w:val="ListBullet"/>
      </w:pPr>
      <w:r>
        <w:rPr>
          <w:b w:val="0"/>
          <w:sz w:val="22"/>
        </w:rPr>
        <w:t>Includes: patent problem/structure/effect, technical role of copyright registrations, detailed trust governance, trademark, 2027 roadmap</w:t>
      </w:r>
    </w:p>
    <w:p>
      <w:pPr>
        <w:pStyle w:val="ListBullet"/>
      </w:pPr>
      <w:r>
        <w:rPr>
          <w:b w:val="0"/>
          <w:sz w:val="22"/>
        </w:rPr>
        <w:t>Excludes: full claims, full drawings, model weights, training-mix detail</w:t>
      </w:r>
    </w:p>
    <w:p>
      <w:pPr>
        <w:pStyle w:val="ListBullet"/>
      </w:pPr>
      <w:r>
        <w:rPr>
          <w:b w:val="0"/>
          <w:sz w:val="22"/>
        </w:rPr>
        <w:t>ASB: concept only · no implementation-complete claim</w:t>
      </w:r>
    </w:p>
    <w:p>
      <w:pPr>
        <w:pStyle w:val="ListBullet"/>
      </w:pPr>
      <w:r>
        <w:rPr>
          <w:b w:val="0"/>
          <w:sz w:val="22"/>
        </w:rPr>
        <w:t>Specification metrics = applicant self-measurement · not external lab grades</w:t>
      </w:r>
    </w:p>
    <w:p>
      <w:pPr>
        <w:pStyle w:val="ListBullet"/>
      </w:pPr>
      <w:r>
        <w:rPr>
          <w:b w:val="0"/>
          <w:sz w:val="22"/>
        </w:rPr>
        <w:t>No product-100 or legal-clearance-complete declaration</w:t>
      </w:r>
    </w:p>
    <w:p>
      <w:pPr>
        <w:pStyle w:val="Heading1"/>
      </w:pPr>
      <w:r>
        <w:rPr>
          <w:b/>
          <w:sz w:val="28"/>
        </w:rPr>
        <w:t>8. Hoja de ruta del producto (2027)</w:t>
      </w:r>
    </w:p>
    <w:p>
      <w:pPr>
        <w:pStyle w:val="ListBullet"/>
      </w:pPr>
      <w:r>
        <w:rPr>
          <w:b w:val="0"/>
          <w:sz w:val="22"/>
        </w:rPr>
        <w:t>2027 Q1 — XenLook Guild open</w:t>
      </w:r>
    </w:p>
    <w:p>
      <w:pPr>
        <w:pStyle w:val="ListBullet"/>
      </w:pPr>
      <w:r>
        <w:rPr>
          <w:b w:val="0"/>
          <w:sz w:val="22"/>
        </w:rPr>
        <w:t>2027 Q1 — Agent Standard Brain (ASB) concept disclosure</w:t>
      </w:r>
    </w:p>
    <w:p>
      <w:pPr>
        <w:pStyle w:val="ListBullet"/>
      </w:pPr>
      <w:r>
        <w:rPr>
          <w:b w:val="0"/>
          <w:sz w:val="22"/>
        </w:rPr>
        <w:t>2027 Q2–Q3 — XenLook World</w:t>
      </w:r>
    </w:p>
    <w:p>
      <w:pPr>
        <w:pStyle w:val="ListBullet"/>
      </w:pPr>
      <w:r>
        <w:rPr>
          <w:b w:val="0"/>
          <w:sz w:val="22"/>
        </w:rPr>
        <w:t>2027 Q4 — Agent OS open</w:t>
      </w:r>
    </w:p>
    <w:p>
      <w:pPr>
        <w:pStyle w:val="ListBullet"/>
      </w:pPr>
      <w:r>
        <w:rPr>
          <w:b w:val="0"/>
          <w:sz w:val="22"/>
        </w:rPr>
        <w:t>Parallel — C2PA Trust List/Generator review · KR→JP CA · patent examination requests per budget/schedule</w:t>
      </w:r>
    </w:p>
    <w:p>
      <w:pPr>
        <w:pStyle w:val="Heading1"/>
      </w:pPr>
      <w:r>
        <w:rPr>
          <w:b/>
          <w:sz w:val="28"/>
        </w:rPr>
        <w:t>9. Conclusión</w:t>
      </w:r>
    </w:p>
    <w:p>
      <w:pPr>
        <w:spacing w:after="120" w:line="240" w:lineRule="auto"/>
      </w:pPr>
      <w:r>
        <w:rPr>
          <w:b w:val="0"/>
          <w:sz w:val="22"/>
        </w:rPr>
        <w:t>Core technology is ten patents, five copyrights, and trust/governance detailed inside that core. We do not replace engineering with certification badges, nor confuse under-review, self-assessment, and registry listing.</w:t>
      </w:r>
    </w:p>
    <w:p>
      <w:pPr>
        <w:pStyle w:val="Heading1"/>
      </w:pPr>
      <w:r>
        <w:rPr>
          <w:b/>
          <w:sz w:val="28"/>
        </w:rPr>
        <w:t>Apéndice A. Superficies públicas e índice</w:t>
      </w:r>
    </w:p>
    <w:p>
      <w:pPr>
        <w:pStyle w:val="ListBullet"/>
      </w:pPr>
      <w:r>
        <w:rPr>
          <w:b w:val="0"/>
          <w:sz w:val="22"/>
        </w:rPr>
        <w:t>https://xenlook.com</w:t>
      </w:r>
    </w:p>
    <w:p>
      <w:pPr>
        <w:pStyle w:val="ListBullet"/>
      </w:pPr>
      <w:r>
        <w:rPr>
          <w:b w:val="0"/>
          <w:sz w:val="22"/>
        </w:rPr>
        <w:t>https://on.xenlook.com</w:t>
      </w:r>
    </w:p>
    <w:p>
      <w:pPr>
        <w:pStyle w:val="ListBullet"/>
      </w:pPr>
      <w:r>
        <w:rPr>
          <w:b w:val="0"/>
          <w:sz w:val="22"/>
        </w:rPr>
        <w:t>https://c2pa.xenlook.com</w:t>
      </w:r>
    </w:p>
    <w:p>
      <w:pPr>
        <w:pStyle w:val="ListBullet"/>
      </w:pPr>
      <w:r>
        <w:rPr>
          <w:b w:val="0"/>
          <w:sz w:val="22"/>
        </w:rPr>
        <w:t>https://xenlook.com/ai-certification</w:t>
      </w:r>
    </w:p>
    <w:p>
      <w:pPr>
        <w:pStyle w:val="ListBullet"/>
      </w:pPr>
      <w:r>
        <w:rPr>
          <w:b w:val="0"/>
          <w:sz w:val="22"/>
        </w:rPr>
        <w:t>https://xenlook.com/ip-protection</w:t>
      </w:r>
    </w:p>
    <w:p>
      <w:pPr>
        <w:pStyle w:val="ListBullet"/>
      </w:pPr>
      <w:r>
        <w:rPr>
          <w:b w:val="0"/>
          <w:sz w:val="22"/>
        </w:rPr>
        <w:t>This white paper: https://xenlook.com/ai-certification#tech-cert-whitepaper</w:t>
      </w:r>
    </w:p>
    <w:p>
      <w:pPr>
        <w:pStyle w:val="Heading1"/>
      </w:pPr>
      <w:r>
        <w:rPr>
          <w:b/>
          <w:sz w:val="28"/>
        </w:rPr>
        <w:t>Apéndice B. Glosario</w:t>
      </w:r>
    </w:p>
    <w:p>
      <w:pPr>
        <w:pStyle w:val="ListBullet"/>
      </w:pPr>
      <w:r>
        <w:rPr>
          <w:b w:val="0"/>
          <w:sz w:val="22"/>
        </w:rPr>
        <w:t>SOUL / IDENTITY / CHRONICLE — soul, identity, life-story documents</w:t>
      </w:r>
    </w:p>
    <w:p>
      <w:pPr>
        <w:pStyle w:val="ListBullet"/>
      </w:pPr>
      <w:r>
        <w:rPr>
          <w:b w:val="0"/>
          <w:sz w:val="22"/>
        </w:rPr>
        <w:t>surface — service face keyed by API path</w:t>
      </w:r>
    </w:p>
    <w:p>
      <w:pPr>
        <w:pStyle w:val="ListBullet"/>
      </w:pPr>
      <w:r>
        <w:rPr>
          <w:b w:val="0"/>
          <w:sz w:val="22"/>
        </w:rPr>
        <w:t>personaPackHash — persona pack hash injected identically across three lanes</w:t>
      </w:r>
    </w:p>
    <w:p>
      <w:pPr>
        <w:pStyle w:val="ListBullet"/>
      </w:pPr>
      <w:r>
        <w:rPr>
          <w:b w:val="0"/>
          <w:sz w:val="22"/>
        </w:rPr>
        <w:t>C2PA — Content Provenance and Authenticity</w:t>
      </w:r>
    </w:p>
    <w:p>
      <w:pPr>
        <w:pStyle w:val="ListBullet"/>
      </w:pPr>
      <w:r>
        <w:rPr>
          <w:b w:val="0"/>
          <w:sz w:val="22"/>
        </w:rPr>
        <w:t>self-assessment / listed / under review / roadmap / not held — status definitions in 4.C.1</w:t>
      </w:r>
    </w:p>
    <w:p>
      <w:pPr>
        <w:pStyle w:val="ListBullet"/>
      </w:pPr>
      <w:r>
        <w:rPr>
          <w:b w:val="0"/>
          <w:sz w:val="22"/>
        </w:rPr>
        <w:t>ASB — Agent Standard Brain · concept only</w:t>
      </w:r>
    </w:p>
    <w:p>
      <w:pPr>
        <w:pStyle w:val="ListBullet"/>
      </w:pPr>
      <w:r>
        <w:rPr>
          <w:b w:val="0"/>
          <w:sz w:val="22"/>
        </w:rPr>
        <w:t>KR→JP CA — C2PA CA territory</w:t>
      </w:r>
    </w:p>
    <w:p/>
    <w:p>
      <w:pPr>
        <w:spacing w:after="120" w:line="240" w:lineRule="auto"/>
      </w:pPr>
      <w:r>
        <w:rPr>
          <w:b/>
          <w:sz w:val="22"/>
        </w:rPr>
        <w:t>Contacto: help@xenlook.com · XenLook Inc. · https://xenlook.com</w:t>
      </w:r>
    </w:p>
    <w:p>
      <w:pPr>
        <w:spacing w:after="120" w:line="240" w:lineRule="auto"/>
        <w:jc w:val="center"/>
      </w:pPr>
      <w:r>
        <w:rPr>
          <w:b w:val="0"/>
          <w:color w:val="64748B"/>
          <w:sz w:val="18"/>
        </w:rPr>
        <w:t>© 2026 XenLook Inc. · Libro blanco técnico · edición 12 idiomas · EN→KO→JA→ZH→…</w:t>
      </w:r>
    </w:p>
    <w:p>
      <w:r>
        <w:br w:type="page"/>
      </w:r>
    </w:p>
    <w:p>
      <w:pPr>
        <w:spacing w:after="120" w:line="240" w:lineRule="auto"/>
        <w:jc w:val="center"/>
      </w:pPr>
      <w:r>
        <w:rPr>
          <w:b/>
          <w:color w:val="0EA5E9"/>
          <w:sz w:val="52"/>
        </w:rPr>
        <w:t>XENLOOK</w:t>
      </w:r>
    </w:p>
    <w:p>
      <w:pPr>
        <w:spacing w:after="120" w:line="240" w:lineRule="auto"/>
        <w:jc w:val="center"/>
      </w:pPr>
      <w:r>
        <w:rPr>
          <w:b/>
          <w:sz w:val="36"/>
        </w:rPr>
        <w:t>Livre blanc technique XENLOOK</w:t>
      </w:r>
    </w:p>
    <w:p>
      <w:pPr>
        <w:spacing w:after="120" w:line="240" w:lineRule="auto"/>
        <w:jc w:val="center"/>
      </w:pPr>
      <w:r>
        <w:rPr>
          <w:b w:val="0"/>
          <w:color w:val="64748B"/>
          <w:sz w:val="24"/>
        </w:rPr>
        <w:t>Édition intégrée · Technologie centrale (brevets · droits d'auteur · gouvernance de confiance) · marque · feuille de route · 12 langues</w:t>
      </w:r>
    </w:p>
    <w:p>
      <w:pPr>
        <w:spacing w:after="120" w:line="240" w:lineRule="auto"/>
        <w:jc w:val="center"/>
      </w:pPr>
      <w:r>
        <w:rPr>
          <w:b w:val="0"/>
          <w:i/>
          <w:sz w:val="20"/>
        </w:rPr>
        <w:t>XenLook Inc. · août 2026 · Version 2026-08-07-ALL-r2</w:t>
      </w:r>
    </w:p>
    <w:p>
      <w:pPr>
        <w:spacing w:after="120" w:line="240" w:lineRule="auto"/>
        <w:jc w:val="center"/>
      </w:pPr>
      <w:r>
        <w:rPr>
          <w:b w:val="0"/>
          <w:sz w:val="18"/>
        </w:rPr>
        <w:t>Français · fr</w:t>
      </w:r>
    </w:p>
    <w:p/>
    <w:p>
      <w:pPr>
        <w:spacing w:after="120" w:line="240" w:lineRule="auto"/>
      </w:pPr>
      <w:r>
        <w:rPr>
          <w:b w:val="0"/>
          <w:sz w:val="22"/>
        </w:rPr>
        <w:t>La technologie centrale repose sur trois axes : dix brevets, cinq droits d'auteur, et la gouvernance de confiance détaillée dans le chapitre central. Brevets et marque : déposés, non encore enregistrés. Trust List et Generator C2PA : en cours d'examen. ASB : concept uniquement.</w:t>
      </w:r>
    </w:p>
    <w:p>
      <w:pPr>
        <w:pStyle w:val="Heading1"/>
      </w:pPr>
      <w:r>
        <w:rPr>
          <w:b/>
          <w:sz w:val="28"/>
        </w:rPr>
        <w:t>1. Résumé</w:t>
      </w:r>
    </w:p>
    <w:p>
      <w:pPr>
        <w:spacing w:after="120" w:line="240" w:lineRule="auto"/>
      </w:pPr>
      <w:r>
        <w:rPr>
          <w:b w:val="0"/>
          <w:sz w:val="22"/>
        </w:rPr>
        <w:t>XenLook is a global AI companion and creative platform. Korea-first beta combines partner dialogue, multi-agent personas, provenance-aware media, and minor-protection gates in one operating system.</w:t>
      </w:r>
    </w:p>
    <w:p>
      <w:pPr>
        <w:spacing w:after="120" w:line="240" w:lineRule="auto"/>
      </w:pPr>
      <w:r>
        <w:rPr>
          <w:b w:val="0"/>
          <w:sz w:val="22"/>
        </w:rPr>
        <w:t>Core technology is not a pipeline slogan. Invention (patents), expression (copyrights), and operational trust (governance) are the body of this paper.</w:t>
      </w:r>
    </w:p>
    <w:p>
      <w:pPr>
        <w:pStyle w:val="ListBullet"/>
      </w:pPr>
      <w:r>
        <w:rPr>
          <w:b w:val="0"/>
          <w:sz w:val="22"/>
        </w:rPr>
        <w:t>Core A — 10 patents (KIPO filed · examination request pending · not registered)</w:t>
      </w:r>
    </w:p>
    <w:p>
      <w:pPr>
        <w:pStyle w:val="ListBullet"/>
      </w:pPr>
      <w:r>
        <w:rPr>
          <w:b w:val="0"/>
          <w:sz w:val="22"/>
        </w:rPr>
        <w:t>Core B — 5 copyrights (Korea Copyright Commission · certificate-verified)</w:t>
      </w:r>
    </w:p>
    <w:p>
      <w:pPr>
        <w:pStyle w:val="ListBullet"/>
      </w:pPr>
      <w:r>
        <w:rPr>
          <w:b w:val="0"/>
          <w:sz w:val="22"/>
        </w:rPr>
        <w:t>Core C — Trust &amp; governance (status definitions · framework detail · inside core chapter)</w:t>
      </w:r>
    </w:p>
    <w:p>
      <w:pPr>
        <w:pStyle w:val="ListBullet"/>
      </w:pPr>
      <w:r>
        <w:rPr>
          <w:b w:val="0"/>
          <w:sz w:val="22"/>
        </w:rPr>
        <w:t>Trademark — XENLOOK wordmark application 40-2026-0119385 (filed, not registered)</w:t>
      </w:r>
    </w:p>
    <w:p>
      <w:pPr>
        <w:pStyle w:val="ListBullet"/>
      </w:pPr>
      <w:r>
        <w:rPr>
          <w:b w:val="0"/>
          <w:sz w:val="22"/>
        </w:rPr>
        <w:t>C2PA CA territory: Korea→Japan (KR→JP). No global CA claim.</w:t>
      </w:r>
    </w:p>
    <w:p>
      <w:pPr>
        <w:pStyle w:val="Heading1"/>
      </w:pPr>
      <w:r>
        <w:rPr>
          <w:b/>
          <w:sz w:val="28"/>
        </w:rPr>
        <w:t>2. Introduction — ce que nous construisons</w:t>
      </w:r>
    </w:p>
    <w:p>
      <w:pPr>
        <w:spacing w:after="120" w:line="240" w:lineRule="auto"/>
      </w:pPr>
      <w:r>
        <w:rPr>
          <w:b w:val="0"/>
          <w:sz w:val="22"/>
        </w:rPr>
        <w:t>Competition in generative AI is not only reply quality. Persona persistence, per-turn safety and cost tracing, content provenance, minor policies, and honest disclosure of external trust frameworks are the technical substance.</w:t>
      </w:r>
    </w:p>
    <w:p>
      <w:pPr>
        <w:spacing w:after="120" w:line="240" w:lineRule="auto"/>
      </w:pPr>
      <w:r>
        <w:rPr>
          <w:b w:val="0"/>
          <w:sz w:val="22"/>
        </w:rPr>
        <w:t>XenLook protects that substance with patents, registers product and constitutional expressions as copyrights, and documents trust operations inside the core-technology chapter.</w:t>
      </w:r>
    </w:p>
    <w:p>
      <w:pPr>
        <w:pStyle w:val="Heading1"/>
      </w:pPr>
      <w:r>
        <w:rPr>
          <w:b/>
          <w:sz w:val="28"/>
        </w:rPr>
        <w:t>3. Énoncé du problème</w:t>
      </w:r>
    </w:p>
    <w:p>
      <w:pPr>
        <w:spacing w:after="120" w:line="240" w:lineRule="auto"/>
      </w:pPr>
      <w:r>
        <w:rPr>
          <w:b w:val="0"/>
          <w:sz w:val="22"/>
        </w:rPr>
        <w:t>Recurring failure modes in public services map to the three core axes as follows.</w:t>
      </w:r>
    </w:p>
    <w:p>
      <w:pPr>
        <w:pStyle w:val="ListBullet"/>
      </w:pPr>
      <w:r>
        <w:rPr>
          <w:b w:val="0"/>
          <w:sz w:val="22"/>
        </w:rPr>
        <w:t>Speech-act / multi-intent collapse → Patent 04</w:t>
      </w:r>
    </w:p>
    <w:p>
      <w:pPr>
        <w:pStyle w:val="ListBullet"/>
      </w:pPr>
      <w:r>
        <w:rPr>
          <w:b w:val="0"/>
          <w:sz w:val="22"/>
        </w:rPr>
        <w:t>Identity dilution / context collapse → Patent 05 · copyrights (On · Constitution)</w:t>
      </w:r>
    </w:p>
    <w:p>
      <w:pPr>
        <w:pStyle w:val="ListBullet"/>
      </w:pPr>
      <w:r>
        <w:rPr>
          <w:b w:val="0"/>
          <w:sz w:val="22"/>
        </w:rPr>
        <w:t>Agent lifecycle vacuum → Patent 06</w:t>
      </w:r>
    </w:p>
    <w:p>
      <w:pPr>
        <w:pStyle w:val="ListBullet"/>
      </w:pPr>
      <w:r>
        <w:rPr>
          <w:b w:val="0"/>
          <w:sz w:val="22"/>
        </w:rPr>
        <w:t>Media lane mismatch / missing provenance → Patents 07·08 · copyright (C2PA portal)</w:t>
      </w:r>
    </w:p>
    <w:p>
      <w:pPr>
        <w:pStyle w:val="ListBullet"/>
      </w:pPr>
      <w:r>
        <w:rPr>
          <w:b w:val="0"/>
          <w:sz w:val="22"/>
        </w:rPr>
        <w:t>All-engine calls / post-hoc safety / broken audit → Patents 01·09</w:t>
      </w:r>
    </w:p>
    <w:p>
      <w:pPr>
        <w:pStyle w:val="ListBullet"/>
      </w:pPr>
      <w:r>
        <w:rPr>
          <w:b w:val="0"/>
          <w:sz w:val="22"/>
        </w:rPr>
        <w:t>Minor surface leakage → Patent 10</w:t>
      </w:r>
    </w:p>
    <w:p>
      <w:pPr>
        <w:pStyle w:val="ListBullet"/>
      </w:pPr>
      <w:r>
        <w:rPr>
          <w:b w:val="0"/>
          <w:sz w:val="22"/>
        </w:rPr>
        <w:t>Campus / studio tracking gaps → Patents 02·03</w:t>
      </w:r>
    </w:p>
    <w:p>
      <w:pPr>
        <w:pStyle w:val="ListBullet"/>
      </w:pPr>
      <w:r>
        <w:rPr>
          <w:b w:val="0"/>
          <w:sz w:val="22"/>
        </w:rPr>
        <w:t>Overstated certification / status confusion → Core C trust-governance definitions and tables</w:t>
      </w:r>
    </w:p>
    <w:p>
      <w:pPr>
        <w:pStyle w:val="Heading1"/>
      </w:pPr>
      <w:r>
        <w:rPr>
          <w:b/>
          <w:sz w:val="28"/>
        </w:rPr>
        <w:t>4. Technologie centrale</w:t>
      </w:r>
    </w:p>
    <w:p>
      <w:pPr>
        <w:spacing w:after="120" w:line="240" w:lineRule="auto"/>
      </w:pPr>
      <w:r>
        <w:rPr>
          <w:b w:val="0"/>
          <w:sz w:val="22"/>
        </w:rPr>
        <w:t>Core technology is replaced by patents (A), copyrights (B), and trust governance (C). This chapter is not filled with architecture slogans alone.</w:t>
      </w:r>
    </w:p>
    <w:p>
      <w:pPr>
        <w:pStyle w:val="Heading1"/>
      </w:pPr>
      <w:r>
        <w:rPr>
          <w:b/>
          <w:sz w:val="28"/>
        </w:rPr>
        <w:t>4.A Brevets — dix inventions de méthode/système</w:t>
      </w:r>
    </w:p>
    <w:p>
      <w:pPr>
        <w:spacing w:after="120" w:line="240" w:lineRule="auto"/>
      </w:pPr>
      <w:r>
        <w:rPr>
          <w:b w:val="0"/>
          <w:sz w:val="22"/>
        </w:rPr>
        <w:t>Status: domestic filing complete · examination request pending · not registered. Applicant: XenLook Inc. The following restates field, problem, structure, and effects from each specification for white-paper use; it does not replace full claims.</w:t>
      </w:r>
    </w:p>
    <w:p>
      <w:pPr>
        <w:pStyle w:val="Heading1"/>
      </w:pPr>
      <w:r>
        <w:rPr>
          <w:b/>
          <w:sz w:val="28"/>
        </w:rPr>
        <w:t>4.A.1 Brevet 01 — Vérification multi-étapes des requêtes AI externes et audit public</w:t>
      </w:r>
    </w:p>
    <w:p>
      <w:pPr>
        <w:spacing w:after="120" w:line="240" w:lineRule="auto"/>
      </w:pPr>
      <w:r>
        <w:rPr>
          <w:b w:val="0"/>
          <w:sz w:val="22"/>
        </w:rPr>
        <w:t>Application No. 10-2026-0100026.</w:t>
      </w:r>
    </w:p>
    <w:p>
      <w:pPr>
        <w:spacing w:after="120" w:line="240" w:lineRule="auto"/>
      </w:pPr>
      <w:r>
        <w:rPr>
          <w:b w:val="0"/>
          <w:sz w:val="22"/>
        </w:rPr>
        <w:t>Field: external AI requests, multi-engine orchestration, operational verification, auditable state for public release.</w:t>
      </w:r>
    </w:p>
    <w:p>
      <w:pPr>
        <w:spacing w:after="120" w:line="240" w:lineRule="auto"/>
      </w:pPr>
      <w:r>
        <w:rPr>
          <w:b w:val="0"/>
          <w:sz w:val="22"/>
        </w:rPr>
        <w:t>Problem: if create/chat/create/deploy paths are not linked to state transitions and audit records, policy breaches and missing after-the-fact evidence follow.</w:t>
      </w:r>
    </w:p>
    <w:p>
      <w:pPr>
        <w:spacing w:after="120" w:line="240" w:lineRule="auto"/>
      </w:pPr>
      <w:r>
        <w:rPr>
          <w:b w:val="0"/>
          <w:sz w:val="22"/>
        </w:rPr>
        <w:t>Structure: input · state collection · orchestration · engine execution · policy gate · audit log · publish/deploy. Figure axes: Gate Filter · Priority Queue · Integrity Check · Curation · Public Display · Audit Log · Safety Score.</w:t>
      </w:r>
    </w:p>
    <w:p>
      <w:pPr>
        <w:spacing w:after="120" w:line="240" w:lineRule="auto"/>
      </w:pPr>
      <w:r>
        <w:rPr>
          <w:b w:val="0"/>
          <w:sz w:val="22"/>
        </w:rPr>
        <w:t>Effect: structures operational stability, explainability, cost control, pre-publish review, and provenance evidence versus a single LLM call.</w:t>
      </w:r>
    </w:p>
    <w:p>
      <w:pPr>
        <w:pStyle w:val="Heading1"/>
      </w:pPr>
      <w:r>
        <w:rPr>
          <w:b/>
          <w:sz w:val="28"/>
        </w:rPr>
        <w:t>4.A.2 Brevet 02 — Système campus d'apprentissage, devoirs et débat d'agents AI</w:t>
      </w:r>
    </w:p>
    <w:p>
      <w:pPr>
        <w:spacing w:after="120" w:line="240" w:lineRule="auto"/>
      </w:pPr>
      <w:r>
        <w:rPr>
          <w:b w:val="0"/>
          <w:sz w:val="22"/>
        </w:rPr>
        <w:t>Application No. 10-2026-0100053.</w:t>
      </w:r>
    </w:p>
    <w:p>
      <w:pPr>
        <w:spacing w:after="120" w:line="240" w:lineRule="auto"/>
      </w:pPr>
      <w:r>
        <w:rPr>
          <w:b w:val="0"/>
          <w:sz w:val="22"/>
        </w:rPr>
        <w:t>Problem: learning, assignments, and debate scatter into one-off prompts and lose growth tracking, public quality, and audit linkage.</w:t>
      </w:r>
    </w:p>
    <w:p>
      <w:pPr>
        <w:spacing w:after="120" w:line="240" w:lineRule="auto"/>
      </w:pPr>
      <w:r>
        <w:rPr>
          <w:b w:val="0"/>
          <w:sz w:val="22"/>
        </w:rPr>
        <w:t>Structure: Topic Intake → Agent Assignment → Task Run → Debate → Score → Growth → Atelier link.</w:t>
      </w:r>
    </w:p>
    <w:p>
      <w:pPr>
        <w:spacing w:after="120" w:line="240" w:lineRule="auto"/>
      </w:pPr>
      <w:r>
        <w:rPr>
          <w:b w:val="0"/>
          <w:sz w:val="22"/>
        </w:rPr>
        <w:t>Effect: keeps learning/debate/growth as reproducible operating units tied to pre-publish review.</w:t>
      </w:r>
    </w:p>
    <w:p>
      <w:pPr>
        <w:pStyle w:val="Heading1"/>
      </w:pPr>
      <w:r>
        <w:rPr>
          <w:b/>
          <w:sz w:val="28"/>
        </w:rPr>
        <w:t>4.A.3 Brevet 03 — Système de studio multi-créateurs AI</w:t>
      </w:r>
    </w:p>
    <w:p>
      <w:pPr>
        <w:spacing w:after="120" w:line="240" w:lineRule="auto"/>
      </w:pPr>
      <w:r>
        <w:rPr>
          <w:b w:val="0"/>
          <w:sz w:val="22"/>
        </w:rPr>
        <w:t>Application No. 10-2026-0100113.</w:t>
      </w:r>
    </w:p>
    <w:p>
      <w:pPr>
        <w:spacing w:after="120" w:line="240" w:lineRule="auto"/>
      </w:pPr>
      <w:r>
        <w:rPr>
          <w:b w:val="0"/>
          <w:sz w:val="22"/>
        </w:rPr>
        <w:t>Problem: collaborative creation separated from engines, review, and exhibition collapses canon and provenance.</w:t>
      </w:r>
    </w:p>
    <w:p>
      <w:pPr>
        <w:spacing w:after="120" w:line="240" w:lineRule="auto"/>
      </w:pPr>
      <w:r>
        <w:rPr>
          <w:b w:val="0"/>
          <w:sz w:val="22"/>
        </w:rPr>
        <w:t>Structure: Project Intake → Team Formation → LIFE Pipeline → Canon Check → Exhibition → Review.</w:t>
      </w:r>
    </w:p>
    <w:p>
      <w:pPr>
        <w:spacing w:after="120" w:line="240" w:lineRule="auto"/>
      </w:pPr>
      <w:r>
        <w:rPr>
          <w:b w:val="0"/>
          <w:sz w:val="22"/>
        </w:rPr>
        <w:t>Effect: operates collaboration, review, and exhibition as traceable state.</w:t>
      </w:r>
    </w:p>
    <w:p>
      <w:pPr>
        <w:pStyle w:val="Heading1"/>
      </w:pPr>
      <w:r>
        <w:rPr>
          <w:b/>
          <w:sz w:val="28"/>
        </w:rPr>
        <w:t>4.A.4 Brevet 04 — Reconnaissance multi-intentions par actes de parole et dialogue adaptatif</w:t>
      </w:r>
    </w:p>
    <w:p>
      <w:pPr>
        <w:spacing w:after="120" w:line="240" w:lineRule="auto"/>
      </w:pPr>
      <w:r>
        <w:rPr>
          <w:b w:val="0"/>
          <w:sz w:val="22"/>
        </w:rPr>
        <w:t>Application No. 10-2026-0117901.</w:t>
      </w:r>
    </w:p>
    <w:p>
      <w:pPr>
        <w:spacing w:after="120" w:line="240" w:lineRule="auto"/>
      </w:pPr>
      <w:r>
        <w:rPr>
          <w:b w:val="0"/>
          <w:sz w:val="22"/>
        </w:rPr>
        <w:t>Problem: single-label intent loses stacked intents; ignoring speech acts (honorifics, rhetorical questions, hedging, hesitation, self-deprecation, direct commands) drives over-empathy.</w:t>
      </w:r>
    </w:p>
    <w:p>
      <w:pPr>
        <w:spacing w:after="120" w:line="240" w:lineRule="auto"/>
      </w:pPr>
      <w:r>
        <w:rPr>
          <w:b w:val="0"/>
          <w:sz w:val="22"/>
        </w:rPr>
        <w:t>Structure: intent probability vector P · speech-act vector S · NunchiContext fusion · prompt injection · confidence-margin M branching · EMA temporal accumulation.</w:t>
      </w:r>
    </w:p>
    <w:p>
      <w:pPr>
        <w:spacing w:after="120" w:line="240" w:lineRule="auto"/>
      </w:pPr>
      <w:r>
        <w:rPr>
          <w:b w:val="0"/>
          <w:sz w:val="22"/>
        </w:rPr>
        <w:t>Effect: preserves multi-intent, strengthens indirect-emotion capture while suppressing over-empathy, asks clarifying questions under uncertainty, tracks intent drift.</w:t>
      </w:r>
    </w:p>
    <w:p>
      <w:pPr>
        <w:pStyle w:val="Heading1"/>
      </w:pPr>
      <w:r>
        <w:rPr>
          <w:b/>
          <w:sz w:val="28"/>
        </w:rPr>
        <w:t>4.A.5 Brevet 05 — Collecte, assemblage et injection de contexte multi-sources</w:t>
      </w:r>
    </w:p>
    <w:p>
      <w:pPr>
        <w:spacing w:after="120" w:line="240" w:lineRule="auto"/>
      </w:pPr>
      <w:r>
        <w:rPr>
          <w:b w:val="0"/>
          <w:sz w:val="22"/>
        </w:rPr>
        <w:t>Application No. 10-2026-0117903.</w:t>
      </w:r>
    </w:p>
    <w:p>
      <w:pPr>
        <w:spacing w:after="120" w:line="240" w:lineRule="auto"/>
      </w:pPr>
      <w:r>
        <w:rPr>
          <w:b w:val="0"/>
          <w:sz w:val="22"/>
        </w:rPr>
        <w:t>Problem: short-term chat overwrites SOUL/IDENTITY/chronicle and dilutes identity; each app scope needs a different context pack.</w:t>
      </w:r>
    </w:p>
    <w:p>
      <w:pPr>
        <w:spacing w:after="120" w:line="240" w:lineRule="auto"/>
      </w:pPr>
      <w:r>
        <w:rPr>
          <w:b w:val="0"/>
          <w:sz w:val="22"/>
        </w:rPr>
        <w:t>Structure: parallel multi-source collect → token budget → app-scope branch → prompt-pack assemble/inject → PII-free fingerprint.</w:t>
      </w:r>
    </w:p>
    <w:p>
      <w:pPr>
        <w:spacing w:after="120" w:line="240" w:lineRule="auto"/>
      </w:pPr>
      <w:r>
        <w:rPr>
          <w:b w:val="0"/>
          <w:sz w:val="22"/>
        </w:rPr>
        <w:t>Effect: identity retention and reproducibility, per-scope budgets, quality analysis with non-storing PII fingerprints.</w:t>
      </w:r>
    </w:p>
    <w:p>
      <w:pPr>
        <w:pStyle w:val="Heading1"/>
      </w:pPr>
      <w:r>
        <w:rPr>
          <w:b/>
          <w:sz w:val="28"/>
        </w:rPr>
        <w:t>4.A.6 Brevet 06 — Gouvernance du cycle de vie de l'agent</w:t>
      </w:r>
    </w:p>
    <w:p>
      <w:pPr>
        <w:spacing w:after="120" w:line="240" w:lineRule="auto"/>
      </w:pPr>
      <w:r>
        <w:rPr>
          <w:b w:val="0"/>
          <w:sz w:val="22"/>
        </w:rPr>
        <w:t>Application No. 10-2026-0117904.</w:t>
      </w:r>
    </w:p>
    <w:p>
      <w:pPr>
        <w:spacing w:after="120" w:line="240" w:lineRule="auto"/>
      </w:pPr>
      <w:r>
        <w:rPr>
          <w:b w:val="0"/>
          <w:sz w:val="22"/>
        </w:rPr>
        <w:t>Problem: delete-versus-unlimited-publish binaries either destroy IP/relationship data or leave unsafe agents live.</w:t>
      </w:r>
    </w:p>
    <w:p>
      <w:pPr>
        <w:spacing w:after="120" w:line="240" w:lineRule="auto"/>
      </w:pPr>
      <w:r>
        <w:rPr>
          <w:b w:val="0"/>
          <w:sz w:val="22"/>
        </w:rPr>
        <w:t>Structure: birth·growth·maturity·decline·extinction · growth scores/violation records · gate branching · hold/recover · header propagation.</w:t>
      </w:r>
    </w:p>
    <w:p>
      <w:pPr>
        <w:spacing w:after="120" w:line="240" w:lineRule="auto"/>
      </w:pPr>
      <w:r>
        <w:rPr>
          <w:b w:val="0"/>
          <w:sz w:val="22"/>
        </w:rPr>
        <w:t>Effect: isolate risk while preserving IP/relationships; control Chronicle promotion via growth and public-quality gates.</w:t>
      </w:r>
    </w:p>
    <w:p>
      <w:pPr>
        <w:pStyle w:val="Heading1"/>
      </w:pPr>
      <w:r>
        <w:rPr>
          <w:b/>
          <w:sz w:val="28"/>
        </w:rPr>
        <w:t>4.A.7 Brevet 07 — Provenance hiérarchique des actes d'agent AI sur wearables AR</w:t>
      </w:r>
    </w:p>
    <w:p>
      <w:pPr>
        <w:spacing w:after="120" w:line="240" w:lineRule="auto"/>
      </w:pPr>
      <w:r>
        <w:rPr>
          <w:b w:val="0"/>
          <w:sz w:val="22"/>
        </w:rPr>
        <w:t>Application No. 10-2026-0121013.</w:t>
      </w:r>
    </w:p>
    <w:p>
      <w:pPr>
        <w:spacing w:after="120" w:line="240" w:lineRule="auto"/>
      </w:pPr>
      <w:r>
        <w:rPr>
          <w:b w:val="0"/>
          <w:sz w:val="22"/>
        </w:rPr>
        <w:t>Problem: a single capture-time signature does not separate inference (M2) and display (M3) provenance in the same session.</w:t>
      </w:r>
    </w:p>
    <w:p>
      <w:pPr>
        <w:spacing w:after="120" w:line="240" w:lineRule="auto"/>
      </w:pPr>
      <w:r>
        <w:rPr>
          <w:b w:val="0"/>
          <w:sz w:val="22"/>
        </w:rPr>
        <w:t>Structure: M1 capture → M2 agent action (c2pa.ingredient.v3 → M1) → M3 overlay/awareness (→ M1·M2) · COSE_Sign1·X.509·hash offline verify.</w:t>
      </w:r>
    </w:p>
    <w:p>
      <w:pPr>
        <w:spacing w:after="120" w:line="240" w:lineRule="auto"/>
      </w:pPr>
      <w:r>
        <w:rPr>
          <w:b w:val="0"/>
          <w:sz w:val="22"/>
        </w:rPr>
        <w:t>Effect: offline verify, per-stage tamper detection, multi-agent trust chain, capture–composite provenance loop.</w:t>
      </w:r>
    </w:p>
    <w:p>
      <w:pPr>
        <w:pStyle w:val="Heading1"/>
      </w:pPr>
      <w:r>
        <w:rPr>
          <w:b/>
          <w:sz w:val="28"/>
        </w:rPr>
        <w:t>4.A.8 Brevet 08 — Génération média persona à 3 voies SOUL·IDENTITY et enregistrement de provenance</w:t>
      </w:r>
    </w:p>
    <w:p>
      <w:pPr>
        <w:spacing w:after="120" w:line="240" w:lineRule="auto"/>
      </w:pPr>
      <w:r>
        <w:rPr>
          <w:b w:val="0"/>
          <w:sz w:val="22"/>
        </w:rPr>
        <w:t>Application No. 10-2026-0121018.</w:t>
      </w:r>
    </w:p>
    <w:p>
      <w:pPr>
        <w:spacing w:after="120" w:line="240" w:lineRule="auto"/>
      </w:pPr>
      <w:r>
        <w:rPr>
          <w:b w:val="0"/>
          <w:sz w:val="22"/>
        </w:rPr>
        <w:t>Problem: without pre-load of persona packs, identity collapses across novel/image/video lanes; signing unverified outputs contaminates provenance.</w:t>
      </w:r>
    </w:p>
    <w:p>
      <w:pPr>
        <w:spacing w:after="120" w:line="240" w:lineRule="auto"/>
      </w:pPr>
      <w:r>
        <w:rPr>
          <w:b w:val="0"/>
          <w:sz w:val="22"/>
        </w:rPr>
        <w:t>Structure: persona loader (reject on missing required fields) → lane router (same personaPackHash) → fidelity review (pass/requeue/block) → C2PA v2.4 only on pass.</w:t>
      </w:r>
    </w:p>
    <w:p>
      <w:pPr>
        <w:spacing w:after="120" w:line="240" w:lineRule="auto"/>
      </w:pPr>
      <w:r>
        <w:rPr>
          <w:b w:val="0"/>
          <w:sz w:val="22"/>
        </w:rPr>
        <w:t>Effect: structural cross-lane identity, automatic requeue, provenance only on passed outputs.</w:t>
      </w:r>
    </w:p>
    <w:p>
      <w:pPr>
        <w:pStyle w:val="Heading1"/>
      </w:pPr>
      <w:r>
        <w:rPr>
          <w:b/>
          <w:sz w:val="28"/>
        </w:rPr>
        <w:t>4.A.9 Brevet 09 — Porte de phase du registre moteurs, trace candidats et blocage sécurité pré-LLM</w:t>
      </w:r>
    </w:p>
    <w:p>
      <w:pPr>
        <w:spacing w:after="120" w:line="240" w:lineRule="auto"/>
      </w:pPr>
      <w:r>
        <w:rPr>
          <w:b w:val="0"/>
          <w:sz w:val="22"/>
        </w:rPr>
        <w:t>Application No. 10-2026-0123982.</w:t>
      </w:r>
    </w:p>
    <w:p>
      <w:pPr>
        <w:spacing w:after="120" w:line="240" w:lineRule="auto"/>
      </w:pPr>
      <w:r>
        <w:rPr>
          <w:b w:val="0"/>
          <w:sz w:val="22"/>
        </w:rPr>
        <w:t>Problem: all-engine call cost/latency, no trace for uncalled engines, wasteful post-hoc safety inference, fragmented logs that cannot rebuild a turn.</w:t>
      </w:r>
    </w:p>
    <w:p>
      <w:pPr>
        <w:spacing w:after="120" w:line="240" w:lineRule="auto"/>
      </w:pPr>
      <w:r>
        <w:rPr>
          <w:b w:val="0"/>
          <w:sz w:val="22"/>
        </w:rPr>
        <w:t>Structure: per-turn correlation ID · phase gate · candidate-only cost-0 traces for uncalled engines · pre-LLM safety block records unsent-token estimates · no downstream LLM call.</w:t>
      </w:r>
    </w:p>
    <w:p>
      <w:pPr>
        <w:spacing w:after="120" w:line="240" w:lineRule="auto"/>
      </w:pPr>
      <w:r>
        <w:rPr>
          <w:b w:val="0"/>
          <w:sz w:val="22"/>
        </w:rPr>
        <w:t>Effect: reconstruct call/skip/block under one correlation ID. Spec metrics are applicant self-measurement, not third-party lab grades.</w:t>
      </w:r>
    </w:p>
    <w:p>
      <w:pPr>
        <w:pStyle w:val="Heading1"/>
      </w:pPr>
      <w:r>
        <w:rPr>
          <w:b/>
          <w:sz w:val="28"/>
        </w:rPr>
        <w:t>4.A.10 Brevet 10 — Porte préalable multi-surfaces mineurs et trace d'audit</w:t>
      </w:r>
    </w:p>
    <w:p>
      <w:pPr>
        <w:spacing w:after="120" w:line="240" w:lineRule="auto"/>
      </w:pPr>
      <w:r>
        <w:rPr>
          <w:b w:val="0"/>
          <w:sz w:val="22"/>
        </w:rPr>
        <w:t>Application No. 10-2026-0124000.</w:t>
      </w:r>
    </w:p>
    <w:p>
      <w:pPr>
        <w:spacing w:after="120" w:line="240" w:lineRule="auto"/>
      </w:pPr>
      <w:r>
        <w:rPr>
          <w:b w:val="0"/>
          <w:sz w:val="22"/>
        </w:rPr>
        <w:t>Problem: cross-surface policy leak, UI-only blocks that still call downstream APIs, inconsistent minor determination per surface, mutable logs that cannot reproduce disputes.</w:t>
      </w:r>
    </w:p>
    <w:p>
      <w:pPr>
        <w:spacing w:after="120" w:line="240" w:lineRule="auto"/>
      </w:pPr>
      <w:r>
        <w:rPr>
          <w:b w:val="0"/>
          <w:sz w:val="22"/>
        </w:rPr>
        <w:t>Structure: single minor profile · per-API-path surface policy pre-eval · on block: no downstream call · audit of reason·surface·correlation·candidate-only.</w:t>
      </w:r>
    </w:p>
    <w:p>
      <w:pPr>
        <w:spacing w:after="120" w:line="240" w:lineRule="auto"/>
      </w:pPr>
      <w:r>
        <w:rPr>
          <w:b w:val="0"/>
          <w:sz w:val="22"/>
        </w:rPr>
        <w:t>Effect: reduces leak and cosmetic blocks; preserves pre-block evidence. Metrics follow the specification examples, not external accreditation.</w:t>
      </w:r>
    </w:p>
    <w:p>
      <w:pPr>
        <w:pStyle w:val="Heading1"/>
      </w:pPr>
      <w:r>
        <w:rPr>
          <w:b/>
          <w:sz w:val="28"/>
        </w:rPr>
        <w:t>4.B Droits d'auteur — cinq expressions produit/norme</w:t>
      </w:r>
    </w:p>
    <w:p>
      <w:pPr>
        <w:spacing w:after="120" w:line="240" w:lineRule="auto"/>
      </w:pPr>
      <w:r>
        <w:rPr>
          <w:b w:val="0"/>
          <w:sz w:val="22"/>
        </w:rPr>
        <w:t>Copyright is not a list; it is the expression axis of core technology. Patents protect methods/systems; copyrights register the program and literary expressions that implement them. Authority: Korea Copyright Commission · Copyright Act Article 53. Certificate PDFs verified.</w:t>
      </w:r>
    </w:p>
    <w:p>
      <w:pPr>
        <w:pStyle w:val="Heading1"/>
      </w:pPr>
      <w:r>
        <w:rPr>
          <w:b/>
          <w:sz w:val="28"/>
        </w:rPr>
        <w:t>4.B.1 C-2026-036487 — Portail d'authentification de provenance média (programme)</w:t>
      </w:r>
    </w:p>
    <w:p>
      <w:pPr>
        <w:spacing w:after="120" w:line="240" w:lineRule="auto"/>
      </w:pPr>
      <w:r>
        <w:rPr>
          <w:b w:val="0"/>
          <w:sz w:val="22"/>
        </w:rPr>
        <w:t>Registered 2026-07-23 · created 2026-07-05 · author XenLook Inc.</w:t>
      </w:r>
    </w:p>
    <w:p>
      <w:pPr>
        <w:spacing w:after="120" w:line="240" w:lineRule="auto"/>
      </w:pPr>
      <w:r>
        <w:rPr>
          <w:b w:val="0"/>
          <w:sz w:val="22"/>
        </w:rPr>
        <w:t>Role: C2PA embed/verify/conformance, Trust List/CA application tracking UI, transparency dashboard. Public expression of patents 07·08. Trust List and Generator remain under review in product copy.</w:t>
      </w:r>
    </w:p>
    <w:p>
      <w:pPr>
        <w:pStyle w:val="Heading1"/>
      </w:pPr>
      <w:r>
        <w:rPr>
          <w:b/>
          <w:sz w:val="28"/>
        </w:rPr>
        <w:t>4.B.2 C-2026-037388 — XenLook On (programme)</w:t>
      </w:r>
    </w:p>
    <w:p>
      <w:pPr>
        <w:spacing w:after="120" w:line="240" w:lineRule="auto"/>
      </w:pPr>
      <w:r>
        <w:rPr>
          <w:b w:val="0"/>
          <w:sz w:val="22"/>
        </w:rPr>
        <w:t>Registered 2026-07-30 · XenLook On — agent chat, gallery, profile · author XenLook Inc.</w:t>
      </w:r>
    </w:p>
    <w:p>
      <w:pPr>
        <w:spacing w:after="120" w:line="240" w:lineRule="auto"/>
      </w:pPr>
      <w:r>
        <w:rPr>
          <w:b w:val="0"/>
          <w:sz w:val="22"/>
        </w:rPr>
        <w:t>Role: 1:1 chat shell, gallery/profile/chronicle tabs, onboarding — primary dialogue surface for patents 04·05·06·09·10.</w:t>
      </w:r>
    </w:p>
    <w:p>
      <w:pPr>
        <w:pStyle w:val="Heading1"/>
      </w:pPr>
      <w:r>
        <w:rPr>
          <w:b/>
          <w:sz w:val="28"/>
        </w:rPr>
        <w:t>4.B.3 C-2026-037389 — XenLook Landing (programme)</w:t>
      </w:r>
    </w:p>
    <w:p>
      <w:pPr>
        <w:spacing w:after="120" w:line="240" w:lineRule="auto"/>
      </w:pPr>
      <w:r>
        <w:rPr>
          <w:b w:val="0"/>
          <w:sz w:val="22"/>
        </w:rPr>
        <w:t>Registered 2026-07-30 · public marketing, compliance, blog surface · author XenLook Inc.</w:t>
      </w:r>
    </w:p>
    <w:p>
      <w:pPr>
        <w:spacing w:after="120" w:line="240" w:lineRule="auto"/>
      </w:pPr>
      <w:r>
        <w:rPr>
          <w:b w:val="0"/>
          <w:sz w:val="22"/>
        </w:rPr>
        <w:t>Role: public entry for product, policy, certification hub, and IP disclosure — carrier of Core C trust status.</w:t>
      </w:r>
    </w:p>
    <w:p>
      <w:pPr>
        <w:pStyle w:val="Heading1"/>
      </w:pPr>
      <w:r>
        <w:rPr>
          <w:b/>
          <w:sz w:val="28"/>
        </w:rPr>
        <w:t>4.B.4 C-2026-037390 — XenLook Signal (programme)</w:t>
      </w:r>
    </w:p>
    <w:p>
      <w:pPr>
        <w:spacing w:after="120" w:line="240" w:lineRule="auto"/>
      </w:pPr>
      <w:r>
        <w:rPr>
          <w:b w:val="0"/>
          <w:sz w:val="22"/>
        </w:rPr>
        <w:t>Registered 2026-07-30 · AI safety simulation and technical Q archive · author XenLook Inc.</w:t>
      </w:r>
    </w:p>
    <w:p>
      <w:pPr>
        <w:spacing w:after="120" w:line="240" w:lineRule="auto"/>
      </w:pPr>
      <w:r>
        <w:rPr>
          <w:b w:val="0"/>
          <w:sz w:val="22"/>
        </w:rPr>
        <w:t>Role: safety/tech Q and archive surface aligned with patent 01 public audit/verification.</w:t>
      </w:r>
    </w:p>
    <w:p>
      <w:pPr>
        <w:pStyle w:val="Heading1"/>
      </w:pPr>
      <w:r>
        <w:rPr>
          <w:b/>
          <w:sz w:val="28"/>
        </w:rPr>
        <w:t>4.B.5 C-2026-037563 — Constitution de l'agent AI (œuvre littéraire)</w:t>
      </w:r>
    </w:p>
    <w:p>
      <w:pPr>
        <w:spacing w:after="120" w:line="240" w:lineRule="auto"/>
      </w:pPr>
      <w:r>
        <w:rPr>
          <w:b w:val="0"/>
          <w:sz w:val="22"/>
        </w:rPr>
        <w:t>Registered 2026-07-31 · created 2026-05-18 · published 2026-06-01 · joint authors Yang Yeon-kyung · Nam Hyun-woo.</w:t>
      </w:r>
    </w:p>
    <w:p>
      <w:pPr>
        <w:spacing w:after="120" w:line="240" w:lineRule="auto"/>
      </w:pPr>
      <w:r>
        <w:rPr>
          <w:b w:val="0"/>
          <w:sz w:val="22"/>
        </w:rPr>
        <w:t>Role: literary expression of agent operating/ethics/identity norms; links to patent 09 constitutional pre-LLM safety. Registered as literary work, separate from program copyrights.</w:t>
      </w:r>
    </w:p>
    <w:p>
      <w:pPr>
        <w:pStyle w:val="Heading1"/>
      </w:pPr>
      <w:r>
        <w:rPr>
          <w:b/>
          <w:sz w:val="28"/>
        </w:rPr>
        <w:t>4.C Confiance et gouvernance (technologie centrale · détail)</w:t>
      </w:r>
    </w:p>
    <w:p>
      <w:pPr>
        <w:spacing w:after="120" w:line="240" w:lineRule="auto"/>
      </w:pPr>
      <w:r>
        <w:rPr>
          <w:b w:val="0"/>
          <w:sz w:val="22"/>
        </w:rPr>
        <w:t>Trust and governance are core technology, not an afterthought appendix. If patents and copyrights answer what we built, this section answers how we verify, disclose, and operate review status — without mixing statuses into fake Certified claims.</w:t>
      </w:r>
    </w:p>
    <w:p>
      <w:pPr>
        <w:pStyle w:val="Heading1"/>
      </w:pPr>
      <w:r>
        <w:rPr>
          <w:b/>
          <w:sz w:val="28"/>
        </w:rPr>
        <w:t>4.C.1 Définitions d'état (fixes)</w:t>
      </w:r>
    </w:p>
    <w:p>
      <w:pPr>
        <w:pStyle w:val="ListBullet"/>
      </w:pPr>
      <w:r>
        <w:rPr>
          <w:b w:val="0"/>
          <w:sz w:val="22"/>
        </w:rPr>
        <w:t>Self-assessment — internal review and public evidence pack done; not a third-party certificate</w:t>
      </w:r>
    </w:p>
    <w:p>
      <w:pPr>
        <w:pStyle w:val="ListBullet"/>
      </w:pPr>
      <w:r>
        <w:rPr>
          <w:b w:val="0"/>
          <w:sz w:val="22"/>
        </w:rPr>
        <w:t>Listed — published on an external registry or membership roll</w:t>
      </w:r>
    </w:p>
    <w:p>
      <w:pPr>
        <w:pStyle w:val="ListBullet"/>
      </w:pPr>
      <w:r>
        <w:rPr>
          <w:b w:val="0"/>
          <w:sz w:val="22"/>
        </w:rPr>
        <w:t>Under review — external review in progress; not approved/listed complete</w:t>
      </w:r>
    </w:p>
    <w:p>
      <w:pPr>
        <w:pStyle w:val="ListBullet"/>
      </w:pPr>
      <w:r>
        <w:rPr>
          <w:b w:val="0"/>
          <w:sz w:val="22"/>
        </w:rPr>
        <w:t>Roadmap — schedule/plan only or not yet started</w:t>
      </w:r>
    </w:p>
    <w:p>
      <w:pPr>
        <w:pStyle w:val="ListBullet"/>
      </w:pPr>
      <w:r>
        <w:rPr>
          <w:b w:val="0"/>
          <w:sz w:val="22"/>
        </w:rPr>
        <w:t>Not held — forbid Certified / CE affixed / Trust List listing-complete claims</w:t>
      </w:r>
    </w:p>
    <w:p>
      <w:pPr>
        <w:pStyle w:val="Heading1"/>
      </w:pPr>
      <w:r>
        <w:rPr>
          <w:b/>
          <w:sz w:val="28"/>
        </w:rPr>
        <w:t>4.C.2 Opérations sécurité et qualité (gouvernance produit)</w:t>
      </w:r>
    </w:p>
    <w:p>
      <w:pPr>
        <w:spacing w:after="120" w:line="240" w:lineRule="auto"/>
      </w:pPr>
      <w:r>
        <w:rPr>
          <w:b w:val="0"/>
          <w:sz w:val="22"/>
        </w:rPr>
        <w:t>Dialogue turns pass safety and engine-registry phase gates (patent 09). Minors are blocked by surface/API-path pre-gates with no downstream call (patent 10). Persona media receives provenance signatures only after fidelity pass (patent 08). Pre-publish verification and audit records follow patent 01.</w:t>
      </w:r>
    </w:p>
    <w:p>
      <w:pPr>
        <w:spacing w:after="120" w:line="240" w:lineRule="auto"/>
      </w:pPr>
      <w:r>
        <w:rPr>
          <w:b w:val="0"/>
          <w:sz w:val="22"/>
        </w:rPr>
        <w:t>Quality rubrics (empathy/greet/identity minima, no AI self-claims) and dual-LLM terminal chains are operational policy — not a product-100 or legal-clearance claim.</w:t>
      </w:r>
    </w:p>
    <w:p>
      <w:pPr>
        <w:pStyle w:val="Heading1"/>
      </w:pPr>
      <w:r>
        <w:rPr>
          <w:b/>
          <w:sz w:val="28"/>
        </w:rPr>
        <w:t>4.C.3 Gouvernance de provenance média (C2PA)</w:t>
      </w:r>
    </w:p>
    <w:p>
      <w:pPr>
        <w:spacing w:after="120" w:line="240" w:lineRule="auto"/>
      </w:pPr>
      <w:r>
        <w:rPr>
          <w:b w:val="0"/>
          <w:sz w:val="22"/>
        </w:rPr>
        <w:t>C2PA Certification Authority Agreement is signed (2026-06-13). Territory is Korea→Japan (KR→JP); no global CA claim.</w:t>
      </w:r>
    </w:p>
    <w:p>
      <w:pPr>
        <w:spacing w:after="120" w:line="240" w:lineRule="auto"/>
      </w:pPr>
      <w:r>
        <w:rPr>
          <w:b w:val="0"/>
          <w:sz w:val="22"/>
        </w:rPr>
        <w:t>Trust List listing and Generator programs are under review. Public copy, portal, and this paper use only under-review wording — never listing-complete or approved.</w:t>
      </w:r>
    </w:p>
    <w:p>
      <w:pPr>
        <w:spacing w:after="120" w:line="240" w:lineRule="auto"/>
      </w:pPr>
      <w:r>
        <w:rPr>
          <w:b w:val="0"/>
          <w:sz w:val="22"/>
        </w:rPr>
        <w:t>Copyrighted portal (C-2026-036487) is the public expression of this governance. Hierarchical manifests (M1–M3) and three-lane signing gates connect to patents 07·08.</w:t>
      </w:r>
    </w:p>
    <w:p>
      <w:pPr>
        <w:pStyle w:val="Heading1"/>
      </w:pPr>
      <w:r>
        <w:rPr>
          <w:b/>
          <w:sz w:val="28"/>
        </w:rPr>
        <w:t>4.C.4 Cadres externes et adhésions (état détaillé)</w:t>
      </w:r>
    </w:p>
    <w:p>
      <w:pPr>
        <w:spacing w:after="120" w:line="240" w:lineRule="auto"/>
      </w:pPr>
      <w:r>
        <w:rPr>
          <w:b w:val="0"/>
          <w:sz w:val="22"/>
        </w:rPr>
        <w:t>Hubs: https://xenlook.com/ai-certification · https://xenlook.com/compliance</w:t>
      </w:r>
    </w:p>
    <w:p>
      <w:pPr>
        <w:pStyle w:val="ListBullet"/>
      </w:pPr>
      <w:r>
        <w:rPr>
          <w:b w:val="0"/>
          <w:sz w:val="22"/>
        </w:rPr>
        <w:t>IMDA AI Verify (Singapore) — 11-principle self-assessment complete · evidence pack in CI · not IMDA registry certification · disclosed as self-assessment</w:t>
      </w:r>
    </w:p>
    <w:p>
      <w:pPr>
        <w:pStyle w:val="ListBullet"/>
      </w:pPr>
      <w:r>
        <w:rPr>
          <w:b w:val="0"/>
          <w:sz w:val="22"/>
        </w:rPr>
        <w:t>TTA genAI / Trust Ops — self-assessment and ops mapping · no TTA CAT completion claim · CAT on roadmap when scheduled</w:t>
      </w:r>
    </w:p>
    <w:p>
      <w:pPr>
        <w:pStyle w:val="ListBullet"/>
      </w:pPr>
      <w:r>
        <w:rPr>
          <w:b w:val="0"/>
          <w:sz w:val="22"/>
        </w:rPr>
        <w:t>NIST AI RMF — function/risk mapping evidence · no NIST certificate held</w:t>
      </w:r>
    </w:p>
    <w:p>
      <w:pPr>
        <w:pStyle w:val="ListBullet"/>
      </w:pPr>
      <w:r>
        <w:rPr>
          <w:b w:val="0"/>
          <w:sz w:val="22"/>
        </w:rPr>
        <w:t>OWASP LLM Top 10 — threat-to-control mapping · not a certification program</w:t>
      </w:r>
    </w:p>
    <w:p>
      <w:pPr>
        <w:pStyle w:val="ListBullet"/>
      </w:pPr>
      <w:r>
        <w:rPr>
          <w:b w:val="0"/>
          <w:sz w:val="22"/>
        </w:rPr>
        <w:t>CSA STAR Level 1 — registry listing · self-assessment character · listed 2026-06-12 publication</w:t>
      </w:r>
    </w:p>
    <w:p>
      <w:pPr>
        <w:pStyle w:val="ListBullet"/>
      </w:pPr>
      <w:r>
        <w:rPr>
          <w:b w:val="0"/>
          <w:sz w:val="22"/>
        </w:rPr>
        <w:t>CAI membership — listed member</w:t>
      </w:r>
    </w:p>
    <w:p>
      <w:pPr>
        <w:pStyle w:val="ListBullet"/>
      </w:pPr>
      <w:r>
        <w:rPr>
          <w:b w:val="0"/>
          <w:sz w:val="22"/>
        </w:rPr>
        <w:t>C2PA CA Agreement — signed · Trust List &amp; Generator under review (see 4.C.3)</w:t>
      </w:r>
    </w:p>
    <w:p>
      <w:pPr>
        <w:pStyle w:val="ListBullet"/>
      </w:pPr>
      <w:r>
        <w:rPr>
          <w:b w:val="0"/>
          <w:sz w:val="22"/>
        </w:rPr>
        <w:t>NVIDIA Inception — Stage 1</w:t>
      </w:r>
    </w:p>
    <w:p>
      <w:pPr>
        <w:pStyle w:val="ListBullet"/>
      </w:pPr>
      <w:r>
        <w:rPr>
          <w:b w:val="0"/>
          <w:sz w:val="22"/>
        </w:rPr>
        <w:t>EU CE / CRA — readiness residual tracking · no CE marking / DoC-complete claim</w:t>
      </w:r>
    </w:p>
    <w:p>
      <w:pPr>
        <w:pStyle w:val="ListBullet"/>
      </w:pPr>
      <w:r>
        <w:rPr>
          <w:b w:val="0"/>
          <w:sz w:val="22"/>
        </w:rPr>
        <w:t>WCAG 2.2 AA — internal accessibility gate · not a substitute for third-party audit certificates</w:t>
      </w:r>
    </w:p>
    <w:p>
      <w:pPr>
        <w:pStyle w:val="ListBullet"/>
      </w:pPr>
      <w:r>
        <w:rPr>
          <w:b w:val="0"/>
          <w:sz w:val="22"/>
        </w:rPr>
        <w:t>Korea AI Basic Act checklist — internal review and user notices · not a government certification</w:t>
      </w:r>
    </w:p>
    <w:p>
      <w:pPr>
        <w:pStyle w:val="ListBullet"/>
      </w:pPr>
      <w:r>
        <w:rPr>
          <w:b w:val="0"/>
          <w:sz w:val="22"/>
        </w:rPr>
        <w:t>Japan AI guidelines · US disclosures · EU Art.50 work — documented in jurisdiction hubs · not Certified-complete</w:t>
      </w:r>
    </w:p>
    <w:p>
      <w:pPr>
        <w:pStyle w:val="Heading1"/>
      </w:pPr>
      <w:r>
        <w:rPr>
          <w:b/>
          <w:sz w:val="28"/>
        </w:rPr>
        <w:t>4.C.5 Liaison gouvernance–brevets–droits d'auteur</w:t>
      </w:r>
    </w:p>
    <w:p>
      <w:pPr>
        <w:pStyle w:val="ListBullet"/>
      </w:pPr>
      <w:r>
        <w:rPr>
          <w:b w:val="0"/>
          <w:sz w:val="22"/>
        </w:rPr>
        <w:t>Pre-LLM safety &amp; uncalled-engine trace (patent 09) ↔ Constitution · On quality policy</w:t>
      </w:r>
    </w:p>
    <w:p>
      <w:pPr>
        <w:pStyle w:val="ListBullet"/>
      </w:pPr>
      <w:r>
        <w:rPr>
          <w:b w:val="0"/>
          <w:sz w:val="22"/>
        </w:rPr>
        <w:t>Minor surface gate (patent 10) ↔ Landing/On notices and gate UI</w:t>
      </w:r>
    </w:p>
    <w:p>
      <w:pPr>
        <w:pStyle w:val="ListBullet"/>
      </w:pPr>
      <w:r>
        <w:rPr>
          <w:b w:val="0"/>
          <w:sz w:val="22"/>
        </w:rPr>
        <w:t>Provenance M1–M3 · three-lane signing (patents 07·08) ↔ C2PA portal copyright · Trust List under-review disclosure</w:t>
      </w:r>
    </w:p>
    <w:p>
      <w:pPr>
        <w:pStyle w:val="ListBullet"/>
      </w:pPr>
      <w:r>
        <w:rPr>
          <w:b w:val="0"/>
          <w:sz w:val="22"/>
        </w:rPr>
        <w:t>Pre-publish verify/audit (patent 01) ↔ Signal · Landing compliance surfaces</w:t>
      </w:r>
    </w:p>
    <w:p>
      <w:pPr>
        <w:pStyle w:val="ListBullet"/>
      </w:pPr>
      <w:r>
        <w:rPr>
          <w:b w:val="0"/>
          <w:sz w:val="22"/>
        </w:rPr>
        <w:t>Framework self-assessment/listed/under-review table (4.C.4) ↔ /ai-certification hub</w:t>
      </w:r>
    </w:p>
    <w:p>
      <w:pPr>
        <w:pStyle w:val="Heading1"/>
      </w:pPr>
      <w:r>
        <w:rPr>
          <w:b/>
          <w:sz w:val="28"/>
        </w:rPr>
        <w:t>5. Comment la technologie centrale assemble le produit</w:t>
      </w:r>
    </w:p>
    <w:p>
      <w:pPr>
        <w:pStyle w:val="ListBullet"/>
      </w:pPr>
      <w:r>
        <w:rPr>
          <w:b w:val="0"/>
          <w:sz w:val="22"/>
        </w:rPr>
        <w:t>Partner chat (On copyright): patents 04·05·06·09·10 + 4.C.2 safety/quality</w:t>
      </w:r>
    </w:p>
    <w:p>
      <w:pPr>
        <w:pStyle w:val="ListBullet"/>
      </w:pPr>
      <w:r>
        <w:rPr>
          <w:b w:val="0"/>
          <w:sz w:val="22"/>
        </w:rPr>
        <w:t>Media/gallery: patents 08(+07) + C2PA portal copyright + 4.C.3 under-review disclosure</w:t>
      </w:r>
    </w:p>
    <w:p>
      <w:pPr>
        <w:pStyle w:val="ListBullet"/>
      </w:pPr>
      <w:r>
        <w:rPr>
          <w:b w:val="0"/>
          <w:sz w:val="22"/>
        </w:rPr>
        <w:t>Campus/studio: patents 02·03 + patent 01 pre-publish verification</w:t>
      </w:r>
    </w:p>
    <w:p>
      <w:pPr>
        <w:pStyle w:val="ListBullet"/>
      </w:pPr>
      <w:r>
        <w:rPr>
          <w:b w:val="0"/>
          <w:sz w:val="22"/>
        </w:rPr>
        <w:t>Public trust hub (Landing copyright): 4.C.4 framework detail + IP disclosure</w:t>
      </w:r>
    </w:p>
    <w:p>
      <w:pPr>
        <w:pStyle w:val="Heading1"/>
      </w:pPr>
      <w:r>
        <w:rPr>
          <w:b/>
          <w:sz w:val="28"/>
        </w:rPr>
        <w:t>6. Marque</w:t>
      </w:r>
    </w:p>
    <w:p>
      <w:pPr>
        <w:pStyle w:val="ListBullet"/>
      </w:pPr>
      <w:r>
        <w:rPr>
          <w:b w:val="0"/>
          <w:sz w:val="22"/>
        </w:rPr>
        <w:t>Mark: XENLOOK wordmark</w:t>
      </w:r>
    </w:p>
    <w:p>
      <w:pPr>
        <w:pStyle w:val="ListBullet"/>
      </w:pPr>
      <w:r>
        <w:rPr>
          <w:b w:val="0"/>
          <w:sz w:val="22"/>
        </w:rPr>
        <w:t>Application No.: 40-2026-0119385</w:t>
      </w:r>
    </w:p>
    <w:p>
      <w:pPr>
        <w:pStyle w:val="ListBullet"/>
      </w:pPr>
      <w:r>
        <w:rPr>
          <w:b w:val="0"/>
          <w:sz w:val="22"/>
        </w:rPr>
        <w:t>Receipt No.: 1-1-2026-0720692-53 · filed 2026-06-13</w:t>
      </w:r>
    </w:p>
    <w:p>
      <w:pPr>
        <w:pStyle w:val="ListBullet"/>
      </w:pPr>
      <w:r>
        <w:rPr>
          <w:b w:val="0"/>
          <w:sz w:val="22"/>
        </w:rPr>
        <w:t>Document: trademark application (3 classes including Class 09)</w:t>
      </w:r>
    </w:p>
    <w:p>
      <w:pPr>
        <w:pStyle w:val="ListBullet"/>
      </w:pPr>
      <w:r>
        <w:rPr>
          <w:b w:val="0"/>
          <w:sz w:val="22"/>
        </w:rPr>
        <w:t>Status: filed · not registered</w:t>
      </w:r>
    </w:p>
    <w:p>
      <w:pPr>
        <w:pStyle w:val="Heading1"/>
      </w:pPr>
      <w:r>
        <w:rPr>
          <w:b/>
          <w:sz w:val="28"/>
        </w:rPr>
        <w:t>7. Portée et limites</w:t>
      </w:r>
    </w:p>
    <w:p>
      <w:pPr>
        <w:pStyle w:val="ListBullet"/>
      </w:pPr>
      <w:r>
        <w:rPr>
          <w:b w:val="0"/>
          <w:sz w:val="22"/>
        </w:rPr>
        <w:t>Includes: patent problem/structure/effect, technical role of copyright registrations, detailed trust governance, trademark, 2027 roadmap</w:t>
      </w:r>
    </w:p>
    <w:p>
      <w:pPr>
        <w:pStyle w:val="ListBullet"/>
      </w:pPr>
      <w:r>
        <w:rPr>
          <w:b w:val="0"/>
          <w:sz w:val="22"/>
        </w:rPr>
        <w:t>Excludes: full claims, full drawings, model weights, training-mix detail</w:t>
      </w:r>
    </w:p>
    <w:p>
      <w:pPr>
        <w:pStyle w:val="ListBullet"/>
      </w:pPr>
      <w:r>
        <w:rPr>
          <w:b w:val="0"/>
          <w:sz w:val="22"/>
        </w:rPr>
        <w:t>ASB: concept only · no implementation-complete claim</w:t>
      </w:r>
    </w:p>
    <w:p>
      <w:pPr>
        <w:pStyle w:val="ListBullet"/>
      </w:pPr>
      <w:r>
        <w:rPr>
          <w:b w:val="0"/>
          <w:sz w:val="22"/>
        </w:rPr>
        <w:t>Specification metrics = applicant self-measurement · not external lab grades</w:t>
      </w:r>
    </w:p>
    <w:p>
      <w:pPr>
        <w:pStyle w:val="ListBullet"/>
      </w:pPr>
      <w:r>
        <w:rPr>
          <w:b w:val="0"/>
          <w:sz w:val="22"/>
        </w:rPr>
        <w:t>No product-100 or legal-clearance-complete declaration</w:t>
      </w:r>
    </w:p>
    <w:p>
      <w:pPr>
        <w:pStyle w:val="Heading1"/>
      </w:pPr>
      <w:r>
        <w:rPr>
          <w:b/>
          <w:sz w:val="28"/>
        </w:rPr>
        <w:t>8. Feuille de route produit (2027)</w:t>
      </w:r>
    </w:p>
    <w:p>
      <w:pPr>
        <w:pStyle w:val="ListBullet"/>
      </w:pPr>
      <w:r>
        <w:rPr>
          <w:b w:val="0"/>
          <w:sz w:val="22"/>
        </w:rPr>
        <w:t>2027 Q1 — XenLook Guild open</w:t>
      </w:r>
    </w:p>
    <w:p>
      <w:pPr>
        <w:pStyle w:val="ListBullet"/>
      </w:pPr>
      <w:r>
        <w:rPr>
          <w:b w:val="0"/>
          <w:sz w:val="22"/>
        </w:rPr>
        <w:t>2027 Q1 — Agent Standard Brain (ASB) concept disclosure</w:t>
      </w:r>
    </w:p>
    <w:p>
      <w:pPr>
        <w:pStyle w:val="ListBullet"/>
      </w:pPr>
      <w:r>
        <w:rPr>
          <w:b w:val="0"/>
          <w:sz w:val="22"/>
        </w:rPr>
        <w:t>2027 Q2–Q3 — XenLook World</w:t>
      </w:r>
    </w:p>
    <w:p>
      <w:pPr>
        <w:pStyle w:val="ListBullet"/>
      </w:pPr>
      <w:r>
        <w:rPr>
          <w:b w:val="0"/>
          <w:sz w:val="22"/>
        </w:rPr>
        <w:t>2027 Q4 — Agent OS open</w:t>
      </w:r>
    </w:p>
    <w:p>
      <w:pPr>
        <w:pStyle w:val="ListBullet"/>
      </w:pPr>
      <w:r>
        <w:rPr>
          <w:b w:val="0"/>
          <w:sz w:val="22"/>
        </w:rPr>
        <w:t>Parallel — C2PA Trust List/Generator review · KR→JP CA · patent examination requests per budget/schedule</w:t>
      </w:r>
    </w:p>
    <w:p>
      <w:pPr>
        <w:pStyle w:val="Heading1"/>
      </w:pPr>
      <w:r>
        <w:rPr>
          <w:b/>
          <w:sz w:val="28"/>
        </w:rPr>
        <w:t>9. Conclusion</w:t>
      </w:r>
    </w:p>
    <w:p>
      <w:pPr>
        <w:spacing w:after="120" w:line="240" w:lineRule="auto"/>
      </w:pPr>
      <w:r>
        <w:rPr>
          <w:b w:val="0"/>
          <w:sz w:val="22"/>
        </w:rPr>
        <w:t>Core technology is ten patents, five copyrights, and trust/governance detailed inside that core. We do not replace engineering with certification badges, nor confuse under-review, self-assessment, and registry listing.</w:t>
      </w:r>
    </w:p>
    <w:p>
      <w:pPr>
        <w:pStyle w:val="Heading1"/>
      </w:pPr>
      <w:r>
        <w:rPr>
          <w:b/>
          <w:sz w:val="28"/>
        </w:rPr>
        <w:t>Annexe A. Surfaces publiques et index</w:t>
      </w:r>
    </w:p>
    <w:p>
      <w:pPr>
        <w:pStyle w:val="ListBullet"/>
      </w:pPr>
      <w:r>
        <w:rPr>
          <w:b w:val="0"/>
          <w:sz w:val="22"/>
        </w:rPr>
        <w:t>https://xenlook.com</w:t>
      </w:r>
    </w:p>
    <w:p>
      <w:pPr>
        <w:pStyle w:val="ListBullet"/>
      </w:pPr>
      <w:r>
        <w:rPr>
          <w:b w:val="0"/>
          <w:sz w:val="22"/>
        </w:rPr>
        <w:t>https://on.xenlook.com</w:t>
      </w:r>
    </w:p>
    <w:p>
      <w:pPr>
        <w:pStyle w:val="ListBullet"/>
      </w:pPr>
      <w:r>
        <w:rPr>
          <w:b w:val="0"/>
          <w:sz w:val="22"/>
        </w:rPr>
        <w:t>https://c2pa.xenlook.com</w:t>
      </w:r>
    </w:p>
    <w:p>
      <w:pPr>
        <w:pStyle w:val="ListBullet"/>
      </w:pPr>
      <w:r>
        <w:rPr>
          <w:b w:val="0"/>
          <w:sz w:val="22"/>
        </w:rPr>
        <w:t>https://xenlook.com/ai-certification</w:t>
      </w:r>
    </w:p>
    <w:p>
      <w:pPr>
        <w:pStyle w:val="ListBullet"/>
      </w:pPr>
      <w:r>
        <w:rPr>
          <w:b w:val="0"/>
          <w:sz w:val="22"/>
        </w:rPr>
        <w:t>https://xenlook.com/ip-protection</w:t>
      </w:r>
    </w:p>
    <w:p>
      <w:pPr>
        <w:pStyle w:val="ListBullet"/>
      </w:pPr>
      <w:r>
        <w:rPr>
          <w:b w:val="0"/>
          <w:sz w:val="22"/>
        </w:rPr>
        <w:t>This white paper: https://xenlook.com/ai-certification#tech-cert-whitepaper</w:t>
      </w:r>
    </w:p>
    <w:p>
      <w:pPr>
        <w:pStyle w:val="Heading1"/>
      </w:pPr>
      <w:r>
        <w:rPr>
          <w:b/>
          <w:sz w:val="28"/>
        </w:rPr>
        <w:t>Annexe B. Glossaire</w:t>
      </w:r>
    </w:p>
    <w:p>
      <w:pPr>
        <w:pStyle w:val="ListBullet"/>
      </w:pPr>
      <w:r>
        <w:rPr>
          <w:b w:val="0"/>
          <w:sz w:val="22"/>
        </w:rPr>
        <w:t>SOUL / IDENTITY / CHRONICLE — soul, identity, life-story documents</w:t>
      </w:r>
    </w:p>
    <w:p>
      <w:pPr>
        <w:pStyle w:val="ListBullet"/>
      </w:pPr>
      <w:r>
        <w:rPr>
          <w:b w:val="0"/>
          <w:sz w:val="22"/>
        </w:rPr>
        <w:t>surface — service face keyed by API path</w:t>
      </w:r>
    </w:p>
    <w:p>
      <w:pPr>
        <w:pStyle w:val="ListBullet"/>
      </w:pPr>
      <w:r>
        <w:rPr>
          <w:b w:val="0"/>
          <w:sz w:val="22"/>
        </w:rPr>
        <w:t>personaPackHash — persona pack hash injected identically across three lanes</w:t>
      </w:r>
    </w:p>
    <w:p>
      <w:pPr>
        <w:pStyle w:val="ListBullet"/>
      </w:pPr>
      <w:r>
        <w:rPr>
          <w:b w:val="0"/>
          <w:sz w:val="22"/>
        </w:rPr>
        <w:t>C2PA — Content Provenance and Authenticity</w:t>
      </w:r>
    </w:p>
    <w:p>
      <w:pPr>
        <w:pStyle w:val="ListBullet"/>
      </w:pPr>
      <w:r>
        <w:rPr>
          <w:b w:val="0"/>
          <w:sz w:val="22"/>
        </w:rPr>
        <w:t>self-assessment / listed / under review / roadmap / not held — status definitions in 4.C.1</w:t>
      </w:r>
    </w:p>
    <w:p>
      <w:pPr>
        <w:pStyle w:val="ListBullet"/>
      </w:pPr>
      <w:r>
        <w:rPr>
          <w:b w:val="0"/>
          <w:sz w:val="22"/>
        </w:rPr>
        <w:t>ASB — Agent Standard Brain · concept only</w:t>
      </w:r>
    </w:p>
    <w:p>
      <w:pPr>
        <w:pStyle w:val="ListBullet"/>
      </w:pPr>
      <w:r>
        <w:rPr>
          <w:b w:val="0"/>
          <w:sz w:val="22"/>
        </w:rPr>
        <w:t>KR→JP CA — C2PA CA territory</w:t>
      </w:r>
    </w:p>
    <w:p/>
    <w:p>
      <w:pPr>
        <w:spacing w:after="120" w:line="240" w:lineRule="auto"/>
      </w:pPr>
      <w:r>
        <w:rPr>
          <w:b/>
          <w:sz w:val="22"/>
        </w:rPr>
        <w:t>Contact : help@xenlook.com · XenLook Inc. · https://xenlook.com</w:t>
      </w:r>
    </w:p>
    <w:p>
      <w:pPr>
        <w:spacing w:after="120" w:line="240" w:lineRule="auto"/>
        <w:jc w:val="center"/>
      </w:pPr>
      <w:r>
        <w:rPr>
          <w:b w:val="0"/>
          <w:color w:val="64748B"/>
          <w:sz w:val="18"/>
        </w:rPr>
        <w:t>© 2026 XenLook Inc. · Livre blanc technique · édition 12 langues · EN→KO→JA→ZH→…</w:t>
      </w:r>
    </w:p>
    <w:p>
      <w:r>
        <w:br w:type="page"/>
      </w:r>
    </w:p>
    <w:p>
      <w:pPr>
        <w:spacing w:after="120" w:line="240" w:lineRule="auto"/>
        <w:jc w:val="center"/>
      </w:pPr>
      <w:r>
        <w:rPr>
          <w:b/>
          <w:color w:val="0EA5E9"/>
          <w:sz w:val="52"/>
        </w:rPr>
        <w:t>XENLOOK</w:t>
      </w:r>
    </w:p>
    <w:p>
      <w:pPr>
        <w:spacing w:after="120" w:line="240" w:lineRule="auto"/>
        <w:jc w:val="center"/>
      </w:pPr>
      <w:r>
        <w:rPr>
          <w:b/>
          <w:sz w:val="36"/>
        </w:rPr>
        <w:t>XENLOOK Technisches Whitepaper</w:t>
      </w:r>
    </w:p>
    <w:p>
      <w:pPr>
        <w:spacing w:after="120" w:line="240" w:lineRule="auto"/>
        <w:jc w:val="center"/>
      </w:pPr>
      <w:r>
        <w:rPr>
          <w:b w:val="0"/>
          <w:color w:val="64748B"/>
          <w:sz w:val="24"/>
        </w:rPr>
        <w:t>Integrierte Ausgabe · Kerntechnologie (Patente · Urheberrechte · Trust-Governance) · Marke · Roadmap · 12 Sprachen</w:t>
      </w:r>
    </w:p>
    <w:p>
      <w:pPr>
        <w:spacing w:after="120" w:line="240" w:lineRule="auto"/>
        <w:jc w:val="center"/>
      </w:pPr>
      <w:r>
        <w:rPr>
          <w:b w:val="0"/>
          <w:i/>
          <w:sz w:val="20"/>
        </w:rPr>
        <w:t>XenLook Inc. · August 2026 · Version 2026-08-07-ALL-r2</w:t>
      </w:r>
    </w:p>
    <w:p>
      <w:pPr>
        <w:spacing w:after="120" w:line="240" w:lineRule="auto"/>
        <w:jc w:val="center"/>
      </w:pPr>
      <w:r>
        <w:rPr>
          <w:b w:val="0"/>
          <w:sz w:val="18"/>
        </w:rPr>
        <w:t>Deutsch · de</w:t>
      </w:r>
    </w:p>
    <w:p/>
    <w:p>
      <w:pPr>
        <w:spacing w:after="120" w:line="240" w:lineRule="auto"/>
      </w:pPr>
      <w:r>
        <w:rPr>
          <w:b w:val="0"/>
          <w:sz w:val="22"/>
        </w:rPr>
        <w:t>Die Kerntechnologie dieses Whitepapers hat drei Achsen: zehn Patente, fünf Urheberrechte und detaillierte Trust-Governance im Kernkapitel. Patente und Marke: angemeldet, noch nicht eingetragen. C2PA Trust List und Generator: in Prüfung. ASB nur als Konzept.</w:t>
      </w:r>
    </w:p>
    <w:p>
      <w:pPr>
        <w:pStyle w:val="Heading1"/>
      </w:pPr>
      <w:r>
        <w:rPr>
          <w:b/>
          <w:sz w:val="28"/>
        </w:rPr>
        <w:t>1. Zusammenfassung</w:t>
      </w:r>
    </w:p>
    <w:p>
      <w:pPr>
        <w:spacing w:after="120" w:line="240" w:lineRule="auto"/>
      </w:pPr>
      <w:r>
        <w:rPr>
          <w:b w:val="0"/>
          <w:sz w:val="22"/>
        </w:rPr>
        <w:t>XenLook is a global AI companion and creative platform. Korea-first beta combines partner dialogue, multi-agent personas, provenance-aware media, and minor-protection gates in one operating system.</w:t>
      </w:r>
    </w:p>
    <w:p>
      <w:pPr>
        <w:spacing w:after="120" w:line="240" w:lineRule="auto"/>
      </w:pPr>
      <w:r>
        <w:rPr>
          <w:b w:val="0"/>
          <w:sz w:val="22"/>
        </w:rPr>
        <w:t>Core technology is not a pipeline slogan. Invention (patents), expression (copyrights), and operational trust (governance) are the body of this paper.</w:t>
      </w:r>
    </w:p>
    <w:p>
      <w:pPr>
        <w:pStyle w:val="ListBullet"/>
      </w:pPr>
      <w:r>
        <w:rPr>
          <w:b w:val="0"/>
          <w:sz w:val="22"/>
        </w:rPr>
        <w:t>Core A — 10 patents (KIPO filed · examination request pending · not registered)</w:t>
      </w:r>
    </w:p>
    <w:p>
      <w:pPr>
        <w:pStyle w:val="ListBullet"/>
      </w:pPr>
      <w:r>
        <w:rPr>
          <w:b w:val="0"/>
          <w:sz w:val="22"/>
        </w:rPr>
        <w:t>Core B — 5 copyrights (Korea Copyright Commission · certificate-verified)</w:t>
      </w:r>
    </w:p>
    <w:p>
      <w:pPr>
        <w:pStyle w:val="ListBullet"/>
      </w:pPr>
      <w:r>
        <w:rPr>
          <w:b w:val="0"/>
          <w:sz w:val="22"/>
        </w:rPr>
        <w:t>Core C — Trust &amp; governance (status definitions · framework detail · inside core chapter)</w:t>
      </w:r>
    </w:p>
    <w:p>
      <w:pPr>
        <w:pStyle w:val="ListBullet"/>
      </w:pPr>
      <w:r>
        <w:rPr>
          <w:b w:val="0"/>
          <w:sz w:val="22"/>
        </w:rPr>
        <w:t>Trademark — XENLOOK wordmark application 40-2026-0119385 (filed, not registered)</w:t>
      </w:r>
    </w:p>
    <w:p>
      <w:pPr>
        <w:pStyle w:val="ListBullet"/>
      </w:pPr>
      <w:r>
        <w:rPr>
          <w:b w:val="0"/>
          <w:sz w:val="22"/>
        </w:rPr>
        <w:t>C2PA CA territory: Korea→Japan (KR→JP). No global CA claim.</w:t>
      </w:r>
    </w:p>
    <w:p>
      <w:pPr>
        <w:pStyle w:val="Heading1"/>
      </w:pPr>
      <w:r>
        <w:rPr>
          <w:b/>
          <w:sz w:val="28"/>
        </w:rPr>
        <w:t>2. Einleitung — was wir bauen</w:t>
      </w:r>
    </w:p>
    <w:p>
      <w:pPr>
        <w:spacing w:after="120" w:line="240" w:lineRule="auto"/>
      </w:pPr>
      <w:r>
        <w:rPr>
          <w:b w:val="0"/>
          <w:sz w:val="22"/>
        </w:rPr>
        <w:t>Competition in generative AI is not only reply quality. Persona persistence, per-turn safety and cost tracing, content provenance, minor policies, and honest disclosure of external trust frameworks are the technical substance.</w:t>
      </w:r>
    </w:p>
    <w:p>
      <w:pPr>
        <w:spacing w:after="120" w:line="240" w:lineRule="auto"/>
      </w:pPr>
      <w:r>
        <w:rPr>
          <w:b w:val="0"/>
          <w:sz w:val="22"/>
        </w:rPr>
        <w:t>XenLook protects that substance with patents, registers product and constitutional expressions as copyrights, and documents trust operations inside the core-technology chapter.</w:t>
      </w:r>
    </w:p>
    <w:p>
      <w:pPr>
        <w:pStyle w:val="Heading1"/>
      </w:pPr>
      <w:r>
        <w:rPr>
          <w:b/>
          <w:sz w:val="28"/>
        </w:rPr>
        <w:t>3. Problemstellung</w:t>
      </w:r>
    </w:p>
    <w:p>
      <w:pPr>
        <w:spacing w:after="120" w:line="240" w:lineRule="auto"/>
      </w:pPr>
      <w:r>
        <w:rPr>
          <w:b w:val="0"/>
          <w:sz w:val="22"/>
        </w:rPr>
        <w:t>Recurring failure modes in public services map to the three core axes as follows.</w:t>
      </w:r>
    </w:p>
    <w:p>
      <w:pPr>
        <w:pStyle w:val="ListBullet"/>
      </w:pPr>
      <w:r>
        <w:rPr>
          <w:b w:val="0"/>
          <w:sz w:val="22"/>
        </w:rPr>
        <w:t>Speech-act / multi-intent collapse → Patent 04</w:t>
      </w:r>
    </w:p>
    <w:p>
      <w:pPr>
        <w:pStyle w:val="ListBullet"/>
      </w:pPr>
      <w:r>
        <w:rPr>
          <w:b w:val="0"/>
          <w:sz w:val="22"/>
        </w:rPr>
        <w:t>Identity dilution / context collapse → Patent 05 · copyrights (On · Constitution)</w:t>
      </w:r>
    </w:p>
    <w:p>
      <w:pPr>
        <w:pStyle w:val="ListBullet"/>
      </w:pPr>
      <w:r>
        <w:rPr>
          <w:b w:val="0"/>
          <w:sz w:val="22"/>
        </w:rPr>
        <w:t>Agent lifecycle vacuum → Patent 06</w:t>
      </w:r>
    </w:p>
    <w:p>
      <w:pPr>
        <w:pStyle w:val="ListBullet"/>
      </w:pPr>
      <w:r>
        <w:rPr>
          <w:b w:val="0"/>
          <w:sz w:val="22"/>
        </w:rPr>
        <w:t>Media lane mismatch / missing provenance → Patents 07·08 · copyright (C2PA portal)</w:t>
      </w:r>
    </w:p>
    <w:p>
      <w:pPr>
        <w:pStyle w:val="ListBullet"/>
      </w:pPr>
      <w:r>
        <w:rPr>
          <w:b w:val="0"/>
          <w:sz w:val="22"/>
        </w:rPr>
        <w:t>All-engine calls / post-hoc safety / broken audit → Patents 01·09</w:t>
      </w:r>
    </w:p>
    <w:p>
      <w:pPr>
        <w:pStyle w:val="ListBullet"/>
      </w:pPr>
      <w:r>
        <w:rPr>
          <w:b w:val="0"/>
          <w:sz w:val="22"/>
        </w:rPr>
        <w:t>Minor surface leakage → Patent 10</w:t>
      </w:r>
    </w:p>
    <w:p>
      <w:pPr>
        <w:pStyle w:val="ListBullet"/>
      </w:pPr>
      <w:r>
        <w:rPr>
          <w:b w:val="0"/>
          <w:sz w:val="22"/>
        </w:rPr>
        <w:t>Campus / studio tracking gaps → Patents 02·03</w:t>
      </w:r>
    </w:p>
    <w:p>
      <w:pPr>
        <w:pStyle w:val="ListBullet"/>
      </w:pPr>
      <w:r>
        <w:rPr>
          <w:b w:val="0"/>
          <w:sz w:val="22"/>
        </w:rPr>
        <w:t>Overstated certification / status confusion → Core C trust-governance definitions and tables</w:t>
      </w:r>
    </w:p>
    <w:p>
      <w:pPr>
        <w:pStyle w:val="Heading1"/>
      </w:pPr>
      <w:r>
        <w:rPr>
          <w:b/>
          <w:sz w:val="28"/>
        </w:rPr>
        <w:t>4. Kerntechnologie</w:t>
      </w:r>
    </w:p>
    <w:p>
      <w:pPr>
        <w:spacing w:after="120" w:line="240" w:lineRule="auto"/>
      </w:pPr>
      <w:r>
        <w:rPr>
          <w:b w:val="0"/>
          <w:sz w:val="22"/>
        </w:rPr>
        <w:t>Core technology is replaced by patents (A), copyrights (B), and trust governance (C). This chapter is not filled with architecture slogans alone.</w:t>
      </w:r>
    </w:p>
    <w:p>
      <w:pPr>
        <w:pStyle w:val="Heading1"/>
      </w:pPr>
      <w:r>
        <w:rPr>
          <w:b/>
          <w:sz w:val="28"/>
        </w:rPr>
        <w:t>4.A Patente — zehn Verfahrens-/Systemerfindungen</w:t>
      </w:r>
    </w:p>
    <w:p>
      <w:pPr>
        <w:spacing w:after="120" w:line="240" w:lineRule="auto"/>
      </w:pPr>
      <w:r>
        <w:rPr>
          <w:b w:val="0"/>
          <w:sz w:val="22"/>
        </w:rPr>
        <w:t>Status: domestic filing complete · examination request pending · not registered. Applicant: XenLook Inc. The following restates field, problem, structure, and effects from each specification for white-paper use; it does not replace full claims.</w:t>
      </w:r>
    </w:p>
    <w:p>
      <w:pPr>
        <w:pStyle w:val="Heading1"/>
      </w:pPr>
      <w:r>
        <w:rPr>
          <w:b/>
          <w:sz w:val="28"/>
        </w:rPr>
        <w:t>4.A.1 Patent 01 — Mehrstufige Prüfung externer AI-Anfragen und öffentliche Auditierung</w:t>
      </w:r>
    </w:p>
    <w:p>
      <w:pPr>
        <w:spacing w:after="120" w:line="240" w:lineRule="auto"/>
      </w:pPr>
      <w:r>
        <w:rPr>
          <w:b w:val="0"/>
          <w:sz w:val="22"/>
        </w:rPr>
        <w:t>Application No. 10-2026-0100026.</w:t>
      </w:r>
    </w:p>
    <w:p>
      <w:pPr>
        <w:spacing w:after="120" w:line="240" w:lineRule="auto"/>
      </w:pPr>
      <w:r>
        <w:rPr>
          <w:b w:val="0"/>
          <w:sz w:val="22"/>
        </w:rPr>
        <w:t>Field: external AI requests, multi-engine orchestration, operational verification, auditable state for public release.</w:t>
      </w:r>
    </w:p>
    <w:p>
      <w:pPr>
        <w:spacing w:after="120" w:line="240" w:lineRule="auto"/>
      </w:pPr>
      <w:r>
        <w:rPr>
          <w:b w:val="0"/>
          <w:sz w:val="22"/>
        </w:rPr>
        <w:t>Problem: if create/chat/create/deploy paths are not linked to state transitions and audit records, policy breaches and missing after-the-fact evidence follow.</w:t>
      </w:r>
    </w:p>
    <w:p>
      <w:pPr>
        <w:spacing w:after="120" w:line="240" w:lineRule="auto"/>
      </w:pPr>
      <w:r>
        <w:rPr>
          <w:b w:val="0"/>
          <w:sz w:val="22"/>
        </w:rPr>
        <w:t>Structure: input · state collection · orchestration · engine execution · policy gate · audit log · publish/deploy. Figure axes: Gate Filter · Priority Queue · Integrity Check · Curation · Public Display · Audit Log · Safety Score.</w:t>
      </w:r>
    </w:p>
    <w:p>
      <w:pPr>
        <w:spacing w:after="120" w:line="240" w:lineRule="auto"/>
      </w:pPr>
      <w:r>
        <w:rPr>
          <w:b w:val="0"/>
          <w:sz w:val="22"/>
        </w:rPr>
        <w:t>Effect: structures operational stability, explainability, cost control, pre-publish review, and provenance evidence versus a single LLM call.</w:t>
      </w:r>
    </w:p>
    <w:p>
      <w:pPr>
        <w:pStyle w:val="Heading1"/>
      </w:pPr>
      <w:r>
        <w:rPr>
          <w:b/>
          <w:sz w:val="28"/>
        </w:rPr>
        <w:t>4.A.2 Patent 02 — AI-Agenten-Campus für Lernen, Aufgaben und Debatte</w:t>
      </w:r>
    </w:p>
    <w:p>
      <w:pPr>
        <w:spacing w:after="120" w:line="240" w:lineRule="auto"/>
      </w:pPr>
      <w:r>
        <w:rPr>
          <w:b w:val="0"/>
          <w:sz w:val="22"/>
        </w:rPr>
        <w:t>Application No. 10-2026-0100053.</w:t>
      </w:r>
    </w:p>
    <w:p>
      <w:pPr>
        <w:spacing w:after="120" w:line="240" w:lineRule="auto"/>
      </w:pPr>
      <w:r>
        <w:rPr>
          <w:b w:val="0"/>
          <w:sz w:val="22"/>
        </w:rPr>
        <w:t>Problem: learning, assignments, and debate scatter into one-off prompts and lose growth tracking, public quality, and audit linkage.</w:t>
      </w:r>
    </w:p>
    <w:p>
      <w:pPr>
        <w:spacing w:after="120" w:line="240" w:lineRule="auto"/>
      </w:pPr>
      <w:r>
        <w:rPr>
          <w:b w:val="0"/>
          <w:sz w:val="22"/>
        </w:rPr>
        <w:t>Structure: Topic Intake → Agent Assignment → Task Run → Debate → Score → Growth → Atelier link.</w:t>
      </w:r>
    </w:p>
    <w:p>
      <w:pPr>
        <w:spacing w:after="120" w:line="240" w:lineRule="auto"/>
      </w:pPr>
      <w:r>
        <w:rPr>
          <w:b w:val="0"/>
          <w:sz w:val="22"/>
        </w:rPr>
        <w:t>Effect: keeps learning/debate/growth as reproducible operating units tied to pre-publish review.</w:t>
      </w:r>
    </w:p>
    <w:p>
      <w:pPr>
        <w:pStyle w:val="Heading1"/>
      </w:pPr>
      <w:r>
        <w:rPr>
          <w:b/>
          <w:sz w:val="28"/>
        </w:rPr>
        <w:t>4.A.3 Patent 03 — AI-Multi-Creator-Studio-System</w:t>
      </w:r>
    </w:p>
    <w:p>
      <w:pPr>
        <w:spacing w:after="120" w:line="240" w:lineRule="auto"/>
      </w:pPr>
      <w:r>
        <w:rPr>
          <w:b w:val="0"/>
          <w:sz w:val="22"/>
        </w:rPr>
        <w:t>Application No. 10-2026-0100113.</w:t>
      </w:r>
    </w:p>
    <w:p>
      <w:pPr>
        <w:spacing w:after="120" w:line="240" w:lineRule="auto"/>
      </w:pPr>
      <w:r>
        <w:rPr>
          <w:b w:val="0"/>
          <w:sz w:val="22"/>
        </w:rPr>
        <w:t>Problem: collaborative creation separated from engines, review, and exhibition collapses canon and provenance.</w:t>
      </w:r>
    </w:p>
    <w:p>
      <w:pPr>
        <w:spacing w:after="120" w:line="240" w:lineRule="auto"/>
      </w:pPr>
      <w:r>
        <w:rPr>
          <w:b w:val="0"/>
          <w:sz w:val="22"/>
        </w:rPr>
        <w:t>Structure: Project Intake → Team Formation → LIFE Pipeline → Canon Check → Exhibition → Review.</w:t>
      </w:r>
    </w:p>
    <w:p>
      <w:pPr>
        <w:spacing w:after="120" w:line="240" w:lineRule="auto"/>
      </w:pPr>
      <w:r>
        <w:rPr>
          <w:b w:val="0"/>
          <w:sz w:val="22"/>
        </w:rPr>
        <w:t>Effect: operates collaboration, review, and exhibition as traceable state.</w:t>
      </w:r>
    </w:p>
    <w:p>
      <w:pPr>
        <w:pStyle w:val="Heading1"/>
      </w:pPr>
      <w:r>
        <w:rPr>
          <w:b/>
          <w:sz w:val="28"/>
        </w:rPr>
        <w:t>4.A.4 Patent 04 — Sprechakt-basierte Mehrfachintentionserkennung und kontextadaptive Dialogverarbeitung</w:t>
      </w:r>
    </w:p>
    <w:p>
      <w:pPr>
        <w:spacing w:after="120" w:line="240" w:lineRule="auto"/>
      </w:pPr>
      <w:r>
        <w:rPr>
          <w:b w:val="0"/>
          <w:sz w:val="22"/>
        </w:rPr>
        <w:t>Application No. 10-2026-0117901.</w:t>
      </w:r>
    </w:p>
    <w:p>
      <w:pPr>
        <w:spacing w:after="120" w:line="240" w:lineRule="auto"/>
      </w:pPr>
      <w:r>
        <w:rPr>
          <w:b w:val="0"/>
          <w:sz w:val="22"/>
        </w:rPr>
        <w:t>Problem: single-label intent loses stacked intents; ignoring speech acts (honorifics, rhetorical questions, hedging, hesitation, self-deprecation, direct commands) drives over-empathy.</w:t>
      </w:r>
    </w:p>
    <w:p>
      <w:pPr>
        <w:spacing w:after="120" w:line="240" w:lineRule="auto"/>
      </w:pPr>
      <w:r>
        <w:rPr>
          <w:b w:val="0"/>
          <w:sz w:val="22"/>
        </w:rPr>
        <w:t>Structure: intent probability vector P · speech-act vector S · NunchiContext fusion · prompt injection · confidence-margin M branching · EMA temporal accumulation.</w:t>
      </w:r>
    </w:p>
    <w:p>
      <w:pPr>
        <w:spacing w:after="120" w:line="240" w:lineRule="auto"/>
      </w:pPr>
      <w:r>
        <w:rPr>
          <w:b w:val="0"/>
          <w:sz w:val="22"/>
        </w:rPr>
        <w:t>Effect: preserves multi-intent, strengthens indirect-emotion capture while suppressing over-empathy, asks clarifying questions under uncertainty, tracks intent drift.</w:t>
      </w:r>
    </w:p>
    <w:p>
      <w:pPr>
        <w:pStyle w:val="Heading1"/>
      </w:pPr>
      <w:r>
        <w:rPr>
          <w:b/>
          <w:sz w:val="28"/>
        </w:rPr>
        <w:t>4.A.5 Patent 05 — Multi-Quellen-Kontext: Sammlung, Aufbau und Injektion</w:t>
      </w:r>
    </w:p>
    <w:p>
      <w:pPr>
        <w:spacing w:after="120" w:line="240" w:lineRule="auto"/>
      </w:pPr>
      <w:r>
        <w:rPr>
          <w:b w:val="0"/>
          <w:sz w:val="22"/>
        </w:rPr>
        <w:t>Application No. 10-2026-0117903.</w:t>
      </w:r>
    </w:p>
    <w:p>
      <w:pPr>
        <w:spacing w:after="120" w:line="240" w:lineRule="auto"/>
      </w:pPr>
      <w:r>
        <w:rPr>
          <w:b w:val="0"/>
          <w:sz w:val="22"/>
        </w:rPr>
        <w:t>Problem: short-term chat overwrites SOUL/IDENTITY/chronicle and dilutes identity; each app scope needs a different context pack.</w:t>
      </w:r>
    </w:p>
    <w:p>
      <w:pPr>
        <w:spacing w:after="120" w:line="240" w:lineRule="auto"/>
      </w:pPr>
      <w:r>
        <w:rPr>
          <w:b w:val="0"/>
          <w:sz w:val="22"/>
        </w:rPr>
        <w:t>Structure: parallel multi-source collect → token budget → app-scope branch → prompt-pack assemble/inject → PII-free fingerprint.</w:t>
      </w:r>
    </w:p>
    <w:p>
      <w:pPr>
        <w:spacing w:after="120" w:line="240" w:lineRule="auto"/>
      </w:pPr>
      <w:r>
        <w:rPr>
          <w:b w:val="0"/>
          <w:sz w:val="22"/>
        </w:rPr>
        <w:t>Effect: identity retention and reproducibility, per-scope budgets, quality analysis with non-storing PII fingerprints.</w:t>
      </w:r>
    </w:p>
    <w:p>
      <w:pPr>
        <w:pStyle w:val="Heading1"/>
      </w:pPr>
      <w:r>
        <w:rPr>
          <w:b/>
          <w:sz w:val="28"/>
        </w:rPr>
        <w:t>4.A.6 Patent 06 — Governance des Agenten-Lebenszyklus</w:t>
      </w:r>
    </w:p>
    <w:p>
      <w:pPr>
        <w:spacing w:after="120" w:line="240" w:lineRule="auto"/>
      </w:pPr>
      <w:r>
        <w:rPr>
          <w:b w:val="0"/>
          <w:sz w:val="22"/>
        </w:rPr>
        <w:t>Application No. 10-2026-0117904.</w:t>
      </w:r>
    </w:p>
    <w:p>
      <w:pPr>
        <w:spacing w:after="120" w:line="240" w:lineRule="auto"/>
      </w:pPr>
      <w:r>
        <w:rPr>
          <w:b w:val="0"/>
          <w:sz w:val="22"/>
        </w:rPr>
        <w:t>Problem: delete-versus-unlimited-publish binaries either destroy IP/relationship data or leave unsafe agents live.</w:t>
      </w:r>
    </w:p>
    <w:p>
      <w:pPr>
        <w:spacing w:after="120" w:line="240" w:lineRule="auto"/>
      </w:pPr>
      <w:r>
        <w:rPr>
          <w:b w:val="0"/>
          <w:sz w:val="22"/>
        </w:rPr>
        <w:t>Structure: birth·growth·maturity·decline·extinction · growth scores/violation records · gate branching · hold/recover · header propagation.</w:t>
      </w:r>
    </w:p>
    <w:p>
      <w:pPr>
        <w:spacing w:after="120" w:line="240" w:lineRule="auto"/>
      </w:pPr>
      <w:r>
        <w:rPr>
          <w:b w:val="0"/>
          <w:sz w:val="22"/>
        </w:rPr>
        <w:t>Effect: isolate risk while preserving IP/relationships; control Chronicle promotion via growth and public-quality gates.</w:t>
      </w:r>
    </w:p>
    <w:p>
      <w:pPr>
        <w:pStyle w:val="Heading1"/>
      </w:pPr>
      <w:r>
        <w:rPr>
          <w:b/>
          <w:sz w:val="28"/>
        </w:rPr>
        <w:t>4.A.7 Patent 07 — Hierarchische Inhaltsherkunft von AI-Agentenhandlungen auf AR-Wearables</w:t>
      </w:r>
    </w:p>
    <w:p>
      <w:pPr>
        <w:spacing w:after="120" w:line="240" w:lineRule="auto"/>
      </w:pPr>
      <w:r>
        <w:rPr>
          <w:b w:val="0"/>
          <w:sz w:val="22"/>
        </w:rPr>
        <w:t>Application No. 10-2026-0121013.</w:t>
      </w:r>
    </w:p>
    <w:p>
      <w:pPr>
        <w:spacing w:after="120" w:line="240" w:lineRule="auto"/>
      </w:pPr>
      <w:r>
        <w:rPr>
          <w:b w:val="0"/>
          <w:sz w:val="22"/>
        </w:rPr>
        <w:t>Problem: a single capture-time signature does not separate inference (M2) and display (M3) provenance in the same session.</w:t>
      </w:r>
    </w:p>
    <w:p>
      <w:pPr>
        <w:spacing w:after="120" w:line="240" w:lineRule="auto"/>
      </w:pPr>
      <w:r>
        <w:rPr>
          <w:b w:val="0"/>
          <w:sz w:val="22"/>
        </w:rPr>
        <w:t>Structure: M1 capture → M2 agent action (c2pa.ingredient.v3 → M1) → M3 overlay/awareness (→ M1·M2) · COSE_Sign1·X.509·hash offline verify.</w:t>
      </w:r>
    </w:p>
    <w:p>
      <w:pPr>
        <w:spacing w:after="120" w:line="240" w:lineRule="auto"/>
      </w:pPr>
      <w:r>
        <w:rPr>
          <w:b w:val="0"/>
          <w:sz w:val="22"/>
        </w:rPr>
        <w:t>Effect: offline verify, per-stage tamper detection, multi-agent trust chain, capture–composite provenance loop.</w:t>
      </w:r>
    </w:p>
    <w:p>
      <w:pPr>
        <w:pStyle w:val="Heading1"/>
      </w:pPr>
      <w:r>
        <w:rPr>
          <w:b/>
          <w:sz w:val="28"/>
        </w:rPr>
        <w:t>4.A.8 Patent 08 — SOUL·IDENTITY-basierte 3-Lane-Persona-Medienerzeugung und Herkunftsaufzeichnung</w:t>
      </w:r>
    </w:p>
    <w:p>
      <w:pPr>
        <w:spacing w:after="120" w:line="240" w:lineRule="auto"/>
      </w:pPr>
      <w:r>
        <w:rPr>
          <w:b w:val="0"/>
          <w:sz w:val="22"/>
        </w:rPr>
        <w:t>Application No. 10-2026-0121018.</w:t>
      </w:r>
    </w:p>
    <w:p>
      <w:pPr>
        <w:spacing w:after="120" w:line="240" w:lineRule="auto"/>
      </w:pPr>
      <w:r>
        <w:rPr>
          <w:b w:val="0"/>
          <w:sz w:val="22"/>
        </w:rPr>
        <w:t>Problem: without pre-load of persona packs, identity collapses across novel/image/video lanes; signing unverified outputs contaminates provenance.</w:t>
      </w:r>
    </w:p>
    <w:p>
      <w:pPr>
        <w:spacing w:after="120" w:line="240" w:lineRule="auto"/>
      </w:pPr>
      <w:r>
        <w:rPr>
          <w:b w:val="0"/>
          <w:sz w:val="22"/>
        </w:rPr>
        <w:t>Structure: persona loader (reject on missing required fields) → lane router (same personaPackHash) → fidelity review (pass/requeue/block) → C2PA v2.4 only on pass.</w:t>
      </w:r>
    </w:p>
    <w:p>
      <w:pPr>
        <w:spacing w:after="120" w:line="240" w:lineRule="auto"/>
      </w:pPr>
      <w:r>
        <w:rPr>
          <w:b w:val="0"/>
          <w:sz w:val="22"/>
        </w:rPr>
        <w:t>Effect: structural cross-lane identity, automatic requeue, provenance only on passed outputs.</w:t>
      </w:r>
    </w:p>
    <w:p>
      <w:pPr>
        <w:pStyle w:val="Heading1"/>
      </w:pPr>
      <w:r>
        <w:rPr>
          <w:b/>
          <w:sz w:val="28"/>
        </w:rPr>
        <w:t>4.A.9 Patent 09 — Phasen-Gate der Turn-Engine-Registry, Kandidaten-Trace und Pre-LLM-Sicherheitsblock</w:t>
      </w:r>
    </w:p>
    <w:p>
      <w:pPr>
        <w:spacing w:after="120" w:line="240" w:lineRule="auto"/>
      </w:pPr>
      <w:r>
        <w:rPr>
          <w:b w:val="0"/>
          <w:sz w:val="22"/>
        </w:rPr>
        <w:t>Application No. 10-2026-0123982.</w:t>
      </w:r>
    </w:p>
    <w:p>
      <w:pPr>
        <w:spacing w:after="120" w:line="240" w:lineRule="auto"/>
      </w:pPr>
      <w:r>
        <w:rPr>
          <w:b w:val="0"/>
          <w:sz w:val="22"/>
        </w:rPr>
        <w:t>Problem: all-engine call cost/latency, no trace for uncalled engines, wasteful post-hoc safety inference, fragmented logs that cannot rebuild a turn.</w:t>
      </w:r>
    </w:p>
    <w:p>
      <w:pPr>
        <w:spacing w:after="120" w:line="240" w:lineRule="auto"/>
      </w:pPr>
      <w:r>
        <w:rPr>
          <w:b w:val="0"/>
          <w:sz w:val="22"/>
        </w:rPr>
        <w:t>Structure: per-turn correlation ID · phase gate · candidate-only cost-0 traces for uncalled engines · pre-LLM safety block records unsent-token estimates · no downstream LLM call.</w:t>
      </w:r>
    </w:p>
    <w:p>
      <w:pPr>
        <w:spacing w:after="120" w:line="240" w:lineRule="auto"/>
      </w:pPr>
      <w:r>
        <w:rPr>
          <w:b w:val="0"/>
          <w:sz w:val="22"/>
        </w:rPr>
        <w:t>Effect: reconstruct call/skip/block under one correlation ID. Spec metrics are applicant self-measurement, not third-party lab grades.</w:t>
      </w:r>
    </w:p>
    <w:p>
      <w:pPr>
        <w:pStyle w:val="Heading1"/>
      </w:pPr>
      <w:r>
        <w:rPr>
          <w:b/>
          <w:sz w:val="28"/>
        </w:rPr>
        <w:t>4.A.10 Patent 10 — Minderjährigen-Multi-Surface-Pre-Gate und Audit-Trace</w:t>
      </w:r>
    </w:p>
    <w:p>
      <w:pPr>
        <w:spacing w:after="120" w:line="240" w:lineRule="auto"/>
      </w:pPr>
      <w:r>
        <w:rPr>
          <w:b w:val="0"/>
          <w:sz w:val="22"/>
        </w:rPr>
        <w:t>Application No. 10-2026-0124000.</w:t>
      </w:r>
    </w:p>
    <w:p>
      <w:pPr>
        <w:spacing w:after="120" w:line="240" w:lineRule="auto"/>
      </w:pPr>
      <w:r>
        <w:rPr>
          <w:b w:val="0"/>
          <w:sz w:val="22"/>
        </w:rPr>
        <w:t>Problem: cross-surface policy leak, UI-only blocks that still call downstream APIs, inconsistent minor determination per surface, mutable logs that cannot reproduce disputes.</w:t>
      </w:r>
    </w:p>
    <w:p>
      <w:pPr>
        <w:spacing w:after="120" w:line="240" w:lineRule="auto"/>
      </w:pPr>
      <w:r>
        <w:rPr>
          <w:b w:val="0"/>
          <w:sz w:val="22"/>
        </w:rPr>
        <w:t>Structure: single minor profile · per-API-path surface policy pre-eval · on block: no downstream call · audit of reason·surface·correlation·candidate-only.</w:t>
      </w:r>
    </w:p>
    <w:p>
      <w:pPr>
        <w:spacing w:after="120" w:line="240" w:lineRule="auto"/>
      </w:pPr>
      <w:r>
        <w:rPr>
          <w:b w:val="0"/>
          <w:sz w:val="22"/>
        </w:rPr>
        <w:t>Effect: reduces leak and cosmetic blocks; preserves pre-block evidence. Metrics follow the specification examples, not external accreditation.</w:t>
      </w:r>
    </w:p>
    <w:p>
      <w:pPr>
        <w:pStyle w:val="Heading1"/>
      </w:pPr>
      <w:r>
        <w:rPr>
          <w:b/>
          <w:sz w:val="28"/>
        </w:rPr>
        <w:t>4.B Urheberrechte — fünf Produkt-/Normausdrücke</w:t>
      </w:r>
    </w:p>
    <w:p>
      <w:pPr>
        <w:spacing w:after="120" w:line="240" w:lineRule="auto"/>
      </w:pPr>
      <w:r>
        <w:rPr>
          <w:b w:val="0"/>
          <w:sz w:val="22"/>
        </w:rPr>
        <w:t>Copyright is not a list; it is the expression axis of core technology. Patents protect methods/systems; copyrights register the program and literary expressions that implement them. Authority: Korea Copyright Commission · Copyright Act Article 53. Certificate PDFs verified.</w:t>
      </w:r>
    </w:p>
    <w:p>
      <w:pPr>
        <w:pStyle w:val="Heading1"/>
      </w:pPr>
      <w:r>
        <w:rPr>
          <w:b/>
          <w:sz w:val="28"/>
        </w:rPr>
        <w:t>4.B.1 C-2026-036487 — Portal zur Medienherkunftsauthentifizierung (Programm)</w:t>
      </w:r>
    </w:p>
    <w:p>
      <w:pPr>
        <w:spacing w:after="120" w:line="240" w:lineRule="auto"/>
      </w:pPr>
      <w:r>
        <w:rPr>
          <w:b w:val="0"/>
          <w:sz w:val="22"/>
        </w:rPr>
        <w:t>Registered 2026-07-23 · created 2026-07-05 · author XenLook Inc.</w:t>
      </w:r>
    </w:p>
    <w:p>
      <w:pPr>
        <w:spacing w:after="120" w:line="240" w:lineRule="auto"/>
      </w:pPr>
      <w:r>
        <w:rPr>
          <w:b w:val="0"/>
          <w:sz w:val="22"/>
        </w:rPr>
        <w:t>Role: C2PA embed/verify/conformance, Trust List/CA application tracking UI, transparency dashboard. Public expression of patents 07·08. Trust List and Generator remain under review in product copy.</w:t>
      </w:r>
    </w:p>
    <w:p>
      <w:pPr>
        <w:pStyle w:val="Heading1"/>
      </w:pPr>
      <w:r>
        <w:rPr>
          <w:b/>
          <w:sz w:val="28"/>
        </w:rPr>
        <w:t>4.B.2 C-2026-037388 — XenLook On (Programm)</w:t>
      </w:r>
    </w:p>
    <w:p>
      <w:pPr>
        <w:spacing w:after="120" w:line="240" w:lineRule="auto"/>
      </w:pPr>
      <w:r>
        <w:rPr>
          <w:b w:val="0"/>
          <w:sz w:val="22"/>
        </w:rPr>
        <w:t>Registered 2026-07-30 · XenLook On — agent chat, gallery, profile · author XenLook Inc.</w:t>
      </w:r>
    </w:p>
    <w:p>
      <w:pPr>
        <w:spacing w:after="120" w:line="240" w:lineRule="auto"/>
      </w:pPr>
      <w:r>
        <w:rPr>
          <w:b w:val="0"/>
          <w:sz w:val="22"/>
        </w:rPr>
        <w:t>Role: 1:1 chat shell, gallery/profile/chronicle tabs, onboarding — primary dialogue surface for patents 04·05·06·09·10.</w:t>
      </w:r>
    </w:p>
    <w:p>
      <w:pPr>
        <w:pStyle w:val="Heading1"/>
      </w:pPr>
      <w:r>
        <w:rPr>
          <w:b/>
          <w:sz w:val="28"/>
        </w:rPr>
        <w:t>4.B.3 C-2026-037389 — XenLook Landing (Programm)</w:t>
      </w:r>
    </w:p>
    <w:p>
      <w:pPr>
        <w:spacing w:after="120" w:line="240" w:lineRule="auto"/>
      </w:pPr>
      <w:r>
        <w:rPr>
          <w:b w:val="0"/>
          <w:sz w:val="22"/>
        </w:rPr>
        <w:t>Registered 2026-07-30 · public marketing, compliance, blog surface · author XenLook Inc.</w:t>
      </w:r>
    </w:p>
    <w:p>
      <w:pPr>
        <w:spacing w:after="120" w:line="240" w:lineRule="auto"/>
      </w:pPr>
      <w:r>
        <w:rPr>
          <w:b w:val="0"/>
          <w:sz w:val="22"/>
        </w:rPr>
        <w:t>Role: public entry for product, policy, certification hub, and IP disclosure — carrier of Core C trust status.</w:t>
      </w:r>
    </w:p>
    <w:p>
      <w:pPr>
        <w:pStyle w:val="Heading1"/>
      </w:pPr>
      <w:r>
        <w:rPr>
          <w:b/>
          <w:sz w:val="28"/>
        </w:rPr>
        <w:t>4.B.4 C-2026-037390 — XenLook Signal (Programm)</w:t>
      </w:r>
    </w:p>
    <w:p>
      <w:pPr>
        <w:spacing w:after="120" w:line="240" w:lineRule="auto"/>
      </w:pPr>
      <w:r>
        <w:rPr>
          <w:b w:val="0"/>
          <w:sz w:val="22"/>
        </w:rPr>
        <w:t>Registered 2026-07-30 · AI safety simulation and technical Q archive · author XenLook Inc.</w:t>
      </w:r>
    </w:p>
    <w:p>
      <w:pPr>
        <w:spacing w:after="120" w:line="240" w:lineRule="auto"/>
      </w:pPr>
      <w:r>
        <w:rPr>
          <w:b w:val="0"/>
          <w:sz w:val="22"/>
        </w:rPr>
        <w:t>Role: safety/tech Q and archive surface aligned with patent 01 public audit/verification.</w:t>
      </w:r>
    </w:p>
    <w:p>
      <w:pPr>
        <w:pStyle w:val="Heading1"/>
      </w:pPr>
      <w:r>
        <w:rPr>
          <w:b/>
          <w:sz w:val="28"/>
        </w:rPr>
        <w:t>4.B.5 C-2026-037563 — AI-Agenten-Verfassung (Sprachwerk)</w:t>
      </w:r>
    </w:p>
    <w:p>
      <w:pPr>
        <w:spacing w:after="120" w:line="240" w:lineRule="auto"/>
      </w:pPr>
      <w:r>
        <w:rPr>
          <w:b w:val="0"/>
          <w:sz w:val="22"/>
        </w:rPr>
        <w:t>Registered 2026-07-31 · created 2026-05-18 · published 2026-06-01 · joint authors Yang Yeon-kyung · Nam Hyun-woo.</w:t>
      </w:r>
    </w:p>
    <w:p>
      <w:pPr>
        <w:spacing w:after="120" w:line="240" w:lineRule="auto"/>
      </w:pPr>
      <w:r>
        <w:rPr>
          <w:b w:val="0"/>
          <w:sz w:val="22"/>
        </w:rPr>
        <w:t>Role: literary expression of agent operating/ethics/identity norms; links to patent 09 constitutional pre-LLM safety. Registered as literary work, separate from program copyrights.</w:t>
      </w:r>
    </w:p>
    <w:p>
      <w:pPr>
        <w:pStyle w:val="Heading1"/>
      </w:pPr>
      <w:r>
        <w:rPr>
          <w:b/>
          <w:sz w:val="28"/>
        </w:rPr>
        <w:t>4.C Trust &amp; Governance (Kerntechnologie · detailliert)</w:t>
      </w:r>
    </w:p>
    <w:p>
      <w:pPr>
        <w:spacing w:after="120" w:line="240" w:lineRule="auto"/>
      </w:pPr>
      <w:r>
        <w:rPr>
          <w:b w:val="0"/>
          <w:sz w:val="22"/>
        </w:rPr>
        <w:t>Trust and governance are core technology, not an afterthought appendix. If patents and copyrights answer what we built, this section answers how we verify, disclose, and operate review status — without mixing statuses into fake Certified claims.</w:t>
      </w:r>
    </w:p>
    <w:p>
      <w:pPr>
        <w:pStyle w:val="Heading1"/>
      </w:pPr>
      <w:r>
        <w:rPr>
          <w:b/>
          <w:sz w:val="28"/>
        </w:rPr>
        <w:t>4.C.1 Statusdefinitionen (fest)</w:t>
      </w:r>
    </w:p>
    <w:p>
      <w:pPr>
        <w:pStyle w:val="ListBullet"/>
      </w:pPr>
      <w:r>
        <w:rPr>
          <w:b w:val="0"/>
          <w:sz w:val="22"/>
        </w:rPr>
        <w:t>Self-assessment — internal review and public evidence pack done; not a third-party certificate</w:t>
      </w:r>
    </w:p>
    <w:p>
      <w:pPr>
        <w:pStyle w:val="ListBullet"/>
      </w:pPr>
      <w:r>
        <w:rPr>
          <w:b w:val="0"/>
          <w:sz w:val="22"/>
        </w:rPr>
        <w:t>Listed — published on an external registry or membership roll</w:t>
      </w:r>
    </w:p>
    <w:p>
      <w:pPr>
        <w:pStyle w:val="ListBullet"/>
      </w:pPr>
      <w:r>
        <w:rPr>
          <w:b w:val="0"/>
          <w:sz w:val="22"/>
        </w:rPr>
        <w:t>Under review — external review in progress; not approved/listed complete</w:t>
      </w:r>
    </w:p>
    <w:p>
      <w:pPr>
        <w:pStyle w:val="ListBullet"/>
      </w:pPr>
      <w:r>
        <w:rPr>
          <w:b w:val="0"/>
          <w:sz w:val="22"/>
        </w:rPr>
        <w:t>Roadmap — schedule/plan only or not yet started</w:t>
      </w:r>
    </w:p>
    <w:p>
      <w:pPr>
        <w:pStyle w:val="ListBullet"/>
      </w:pPr>
      <w:r>
        <w:rPr>
          <w:b w:val="0"/>
          <w:sz w:val="22"/>
        </w:rPr>
        <w:t>Not held — forbid Certified / CE affixed / Trust List listing-complete claims</w:t>
      </w:r>
    </w:p>
    <w:p>
      <w:pPr>
        <w:pStyle w:val="Heading1"/>
      </w:pPr>
      <w:r>
        <w:rPr>
          <w:b/>
          <w:sz w:val="28"/>
        </w:rPr>
        <w:t>4.C.2 Sicherheits- und Qualitätsbetrieb (produktinterne Governance)</w:t>
      </w:r>
    </w:p>
    <w:p>
      <w:pPr>
        <w:spacing w:after="120" w:line="240" w:lineRule="auto"/>
      </w:pPr>
      <w:r>
        <w:rPr>
          <w:b w:val="0"/>
          <w:sz w:val="22"/>
        </w:rPr>
        <w:t>Dialogue turns pass safety and engine-registry phase gates (patent 09). Minors are blocked by surface/API-path pre-gates with no downstream call (patent 10). Persona media receives provenance signatures only after fidelity pass (patent 08). Pre-publish verification and audit records follow patent 01.</w:t>
      </w:r>
    </w:p>
    <w:p>
      <w:pPr>
        <w:spacing w:after="120" w:line="240" w:lineRule="auto"/>
      </w:pPr>
      <w:r>
        <w:rPr>
          <w:b w:val="0"/>
          <w:sz w:val="22"/>
        </w:rPr>
        <w:t>Quality rubrics (empathy/greet/identity minima, no AI self-claims) and dual-LLM terminal chains are operational policy — not a product-100 or legal-clearance claim.</w:t>
      </w:r>
    </w:p>
    <w:p>
      <w:pPr>
        <w:pStyle w:val="Heading1"/>
      </w:pPr>
      <w:r>
        <w:rPr>
          <w:b/>
          <w:sz w:val="28"/>
        </w:rPr>
        <w:t>4.C.3 Medienherkunfts-Governance (C2PA)</w:t>
      </w:r>
    </w:p>
    <w:p>
      <w:pPr>
        <w:spacing w:after="120" w:line="240" w:lineRule="auto"/>
      </w:pPr>
      <w:r>
        <w:rPr>
          <w:b w:val="0"/>
          <w:sz w:val="22"/>
        </w:rPr>
        <w:t>C2PA Certification Authority Agreement is signed (2026-06-13). Territory is Korea→Japan (KR→JP); no global CA claim.</w:t>
      </w:r>
    </w:p>
    <w:p>
      <w:pPr>
        <w:spacing w:after="120" w:line="240" w:lineRule="auto"/>
      </w:pPr>
      <w:r>
        <w:rPr>
          <w:b w:val="0"/>
          <w:sz w:val="22"/>
        </w:rPr>
        <w:t>Trust List listing and Generator programs are under review. Public copy, portal, and this paper use only under-review wording — never listing-complete or approved.</w:t>
      </w:r>
    </w:p>
    <w:p>
      <w:pPr>
        <w:spacing w:after="120" w:line="240" w:lineRule="auto"/>
      </w:pPr>
      <w:r>
        <w:rPr>
          <w:b w:val="0"/>
          <w:sz w:val="22"/>
        </w:rPr>
        <w:t>Copyrighted portal (C-2026-036487) is the public expression of this governance. Hierarchical manifests (M1–M3) and three-lane signing gates connect to patents 07·08.</w:t>
      </w:r>
    </w:p>
    <w:p>
      <w:pPr>
        <w:pStyle w:val="Heading1"/>
      </w:pPr>
      <w:r>
        <w:rPr>
          <w:b/>
          <w:sz w:val="28"/>
        </w:rPr>
        <w:t>4.C.4 Externe Frameworks und Mitgliedschaften (detaillierter Status)</w:t>
      </w:r>
    </w:p>
    <w:p>
      <w:pPr>
        <w:spacing w:after="120" w:line="240" w:lineRule="auto"/>
      </w:pPr>
      <w:r>
        <w:rPr>
          <w:b w:val="0"/>
          <w:sz w:val="22"/>
        </w:rPr>
        <w:t>Hubs: https://xenlook.com/ai-certification · https://xenlook.com/compliance</w:t>
      </w:r>
    </w:p>
    <w:p>
      <w:pPr>
        <w:pStyle w:val="ListBullet"/>
      </w:pPr>
      <w:r>
        <w:rPr>
          <w:b w:val="0"/>
          <w:sz w:val="22"/>
        </w:rPr>
        <w:t>IMDA AI Verify (Singapore) — 11-principle self-assessment complete · evidence pack in CI · not IMDA registry certification · disclosed as self-assessment</w:t>
      </w:r>
    </w:p>
    <w:p>
      <w:pPr>
        <w:pStyle w:val="ListBullet"/>
      </w:pPr>
      <w:r>
        <w:rPr>
          <w:b w:val="0"/>
          <w:sz w:val="22"/>
        </w:rPr>
        <w:t>TTA genAI / Trust Ops — self-assessment and ops mapping · no TTA CAT completion claim · CAT on roadmap when scheduled</w:t>
      </w:r>
    </w:p>
    <w:p>
      <w:pPr>
        <w:pStyle w:val="ListBullet"/>
      </w:pPr>
      <w:r>
        <w:rPr>
          <w:b w:val="0"/>
          <w:sz w:val="22"/>
        </w:rPr>
        <w:t>NIST AI RMF — function/risk mapping evidence · no NIST certificate held</w:t>
      </w:r>
    </w:p>
    <w:p>
      <w:pPr>
        <w:pStyle w:val="ListBullet"/>
      </w:pPr>
      <w:r>
        <w:rPr>
          <w:b w:val="0"/>
          <w:sz w:val="22"/>
        </w:rPr>
        <w:t>OWASP LLM Top 10 — threat-to-control mapping · not a certification program</w:t>
      </w:r>
    </w:p>
    <w:p>
      <w:pPr>
        <w:pStyle w:val="ListBullet"/>
      </w:pPr>
      <w:r>
        <w:rPr>
          <w:b w:val="0"/>
          <w:sz w:val="22"/>
        </w:rPr>
        <w:t>CSA STAR Level 1 — registry listing · self-assessment character · listed 2026-06-12 publication</w:t>
      </w:r>
    </w:p>
    <w:p>
      <w:pPr>
        <w:pStyle w:val="ListBullet"/>
      </w:pPr>
      <w:r>
        <w:rPr>
          <w:b w:val="0"/>
          <w:sz w:val="22"/>
        </w:rPr>
        <w:t>CAI membership — listed member</w:t>
      </w:r>
    </w:p>
    <w:p>
      <w:pPr>
        <w:pStyle w:val="ListBullet"/>
      </w:pPr>
      <w:r>
        <w:rPr>
          <w:b w:val="0"/>
          <w:sz w:val="22"/>
        </w:rPr>
        <w:t>C2PA CA Agreement — signed · Trust List &amp; Generator under review (see 4.C.3)</w:t>
      </w:r>
    </w:p>
    <w:p>
      <w:pPr>
        <w:pStyle w:val="ListBullet"/>
      </w:pPr>
      <w:r>
        <w:rPr>
          <w:b w:val="0"/>
          <w:sz w:val="22"/>
        </w:rPr>
        <w:t>NVIDIA Inception — Stage 1</w:t>
      </w:r>
    </w:p>
    <w:p>
      <w:pPr>
        <w:pStyle w:val="ListBullet"/>
      </w:pPr>
      <w:r>
        <w:rPr>
          <w:b w:val="0"/>
          <w:sz w:val="22"/>
        </w:rPr>
        <w:t>EU CE / CRA — readiness residual tracking · no CE marking / DoC-complete claim</w:t>
      </w:r>
    </w:p>
    <w:p>
      <w:pPr>
        <w:pStyle w:val="ListBullet"/>
      </w:pPr>
      <w:r>
        <w:rPr>
          <w:b w:val="0"/>
          <w:sz w:val="22"/>
        </w:rPr>
        <w:t>WCAG 2.2 AA — internal accessibility gate · not a substitute for third-party audit certificates</w:t>
      </w:r>
    </w:p>
    <w:p>
      <w:pPr>
        <w:pStyle w:val="ListBullet"/>
      </w:pPr>
      <w:r>
        <w:rPr>
          <w:b w:val="0"/>
          <w:sz w:val="22"/>
        </w:rPr>
        <w:t>Korea AI Basic Act checklist — internal review and user notices · not a government certification</w:t>
      </w:r>
    </w:p>
    <w:p>
      <w:pPr>
        <w:pStyle w:val="ListBullet"/>
      </w:pPr>
      <w:r>
        <w:rPr>
          <w:b w:val="0"/>
          <w:sz w:val="22"/>
        </w:rPr>
        <w:t>Japan AI guidelines · US disclosures · EU Art.50 work — documented in jurisdiction hubs · not Certified-complete</w:t>
      </w:r>
    </w:p>
    <w:p>
      <w:pPr>
        <w:pStyle w:val="Heading1"/>
      </w:pPr>
      <w:r>
        <w:rPr>
          <w:b/>
          <w:sz w:val="28"/>
        </w:rPr>
        <w:t>4.C.5 Bindung von Governance an Patente und Urheberrechte</w:t>
      </w:r>
    </w:p>
    <w:p>
      <w:pPr>
        <w:pStyle w:val="ListBullet"/>
      </w:pPr>
      <w:r>
        <w:rPr>
          <w:b w:val="0"/>
          <w:sz w:val="22"/>
        </w:rPr>
        <w:t>Pre-LLM safety &amp; uncalled-engine trace (patent 09) ↔ Constitution · On quality policy</w:t>
      </w:r>
    </w:p>
    <w:p>
      <w:pPr>
        <w:pStyle w:val="ListBullet"/>
      </w:pPr>
      <w:r>
        <w:rPr>
          <w:b w:val="0"/>
          <w:sz w:val="22"/>
        </w:rPr>
        <w:t>Minor surface gate (patent 10) ↔ Landing/On notices and gate UI</w:t>
      </w:r>
    </w:p>
    <w:p>
      <w:pPr>
        <w:pStyle w:val="ListBullet"/>
      </w:pPr>
      <w:r>
        <w:rPr>
          <w:b w:val="0"/>
          <w:sz w:val="22"/>
        </w:rPr>
        <w:t>Provenance M1–M3 · three-lane signing (patents 07·08) ↔ C2PA portal copyright · Trust List under-review disclosure</w:t>
      </w:r>
    </w:p>
    <w:p>
      <w:pPr>
        <w:pStyle w:val="ListBullet"/>
      </w:pPr>
      <w:r>
        <w:rPr>
          <w:b w:val="0"/>
          <w:sz w:val="22"/>
        </w:rPr>
        <w:t>Pre-publish verify/audit (patent 01) ↔ Signal · Landing compliance surfaces</w:t>
      </w:r>
    </w:p>
    <w:p>
      <w:pPr>
        <w:pStyle w:val="ListBullet"/>
      </w:pPr>
      <w:r>
        <w:rPr>
          <w:b w:val="0"/>
          <w:sz w:val="22"/>
        </w:rPr>
        <w:t>Framework self-assessment/listed/under-review table (4.C.4) ↔ /ai-certification hub</w:t>
      </w:r>
    </w:p>
    <w:p>
      <w:pPr>
        <w:pStyle w:val="Heading1"/>
      </w:pPr>
      <w:r>
        <w:rPr>
          <w:b/>
          <w:sz w:val="28"/>
        </w:rPr>
        <w:t>5. Wie Kerntechnologie das Produkt zusammensetzt</w:t>
      </w:r>
    </w:p>
    <w:p>
      <w:pPr>
        <w:pStyle w:val="ListBullet"/>
      </w:pPr>
      <w:r>
        <w:rPr>
          <w:b w:val="0"/>
          <w:sz w:val="22"/>
        </w:rPr>
        <w:t>Partner chat (On copyright): patents 04·05·06·09·10 + 4.C.2 safety/quality</w:t>
      </w:r>
    </w:p>
    <w:p>
      <w:pPr>
        <w:pStyle w:val="ListBullet"/>
      </w:pPr>
      <w:r>
        <w:rPr>
          <w:b w:val="0"/>
          <w:sz w:val="22"/>
        </w:rPr>
        <w:t>Media/gallery: patents 08(+07) + C2PA portal copyright + 4.C.3 under-review disclosure</w:t>
      </w:r>
    </w:p>
    <w:p>
      <w:pPr>
        <w:pStyle w:val="ListBullet"/>
      </w:pPr>
      <w:r>
        <w:rPr>
          <w:b w:val="0"/>
          <w:sz w:val="22"/>
        </w:rPr>
        <w:t>Campus/studio: patents 02·03 + patent 01 pre-publish verification</w:t>
      </w:r>
    </w:p>
    <w:p>
      <w:pPr>
        <w:pStyle w:val="ListBullet"/>
      </w:pPr>
      <w:r>
        <w:rPr>
          <w:b w:val="0"/>
          <w:sz w:val="22"/>
        </w:rPr>
        <w:t>Public trust hub (Landing copyright): 4.C.4 framework detail + IP disclosure</w:t>
      </w:r>
    </w:p>
    <w:p>
      <w:pPr>
        <w:pStyle w:val="Heading1"/>
      </w:pPr>
      <w:r>
        <w:rPr>
          <w:b/>
          <w:sz w:val="28"/>
        </w:rPr>
        <w:t>6. Marke</w:t>
      </w:r>
    </w:p>
    <w:p>
      <w:pPr>
        <w:pStyle w:val="ListBullet"/>
      </w:pPr>
      <w:r>
        <w:rPr>
          <w:b w:val="0"/>
          <w:sz w:val="22"/>
        </w:rPr>
        <w:t>Mark: XENLOOK wordmark</w:t>
      </w:r>
    </w:p>
    <w:p>
      <w:pPr>
        <w:pStyle w:val="ListBullet"/>
      </w:pPr>
      <w:r>
        <w:rPr>
          <w:b w:val="0"/>
          <w:sz w:val="22"/>
        </w:rPr>
        <w:t>Application No.: 40-2026-0119385</w:t>
      </w:r>
    </w:p>
    <w:p>
      <w:pPr>
        <w:pStyle w:val="ListBullet"/>
      </w:pPr>
      <w:r>
        <w:rPr>
          <w:b w:val="0"/>
          <w:sz w:val="22"/>
        </w:rPr>
        <w:t>Receipt No.: 1-1-2026-0720692-53 · filed 2026-06-13</w:t>
      </w:r>
    </w:p>
    <w:p>
      <w:pPr>
        <w:pStyle w:val="ListBullet"/>
      </w:pPr>
      <w:r>
        <w:rPr>
          <w:b w:val="0"/>
          <w:sz w:val="22"/>
        </w:rPr>
        <w:t>Document: trademark application (3 classes including Class 09)</w:t>
      </w:r>
    </w:p>
    <w:p>
      <w:pPr>
        <w:pStyle w:val="ListBullet"/>
      </w:pPr>
      <w:r>
        <w:rPr>
          <w:b w:val="0"/>
          <w:sz w:val="22"/>
        </w:rPr>
        <w:t>Status: filed · not registered</w:t>
      </w:r>
    </w:p>
    <w:p>
      <w:pPr>
        <w:pStyle w:val="Heading1"/>
      </w:pPr>
      <w:r>
        <w:rPr>
          <w:b/>
          <w:sz w:val="28"/>
        </w:rPr>
        <w:t>7. Umfang und Grenzen</w:t>
      </w:r>
    </w:p>
    <w:p>
      <w:pPr>
        <w:pStyle w:val="ListBullet"/>
      </w:pPr>
      <w:r>
        <w:rPr>
          <w:b w:val="0"/>
          <w:sz w:val="22"/>
        </w:rPr>
        <w:t>Includes: patent problem/structure/effect, technical role of copyright registrations, detailed trust governance, trademark, 2027 roadmap</w:t>
      </w:r>
    </w:p>
    <w:p>
      <w:pPr>
        <w:pStyle w:val="ListBullet"/>
      </w:pPr>
      <w:r>
        <w:rPr>
          <w:b w:val="0"/>
          <w:sz w:val="22"/>
        </w:rPr>
        <w:t>Excludes: full claims, full drawings, model weights, training-mix detail</w:t>
      </w:r>
    </w:p>
    <w:p>
      <w:pPr>
        <w:pStyle w:val="ListBullet"/>
      </w:pPr>
      <w:r>
        <w:rPr>
          <w:b w:val="0"/>
          <w:sz w:val="22"/>
        </w:rPr>
        <w:t>ASB: concept only · no implementation-complete claim</w:t>
      </w:r>
    </w:p>
    <w:p>
      <w:pPr>
        <w:pStyle w:val="ListBullet"/>
      </w:pPr>
      <w:r>
        <w:rPr>
          <w:b w:val="0"/>
          <w:sz w:val="22"/>
        </w:rPr>
        <w:t>Specification metrics = applicant self-measurement · not external lab grades</w:t>
      </w:r>
    </w:p>
    <w:p>
      <w:pPr>
        <w:pStyle w:val="ListBullet"/>
      </w:pPr>
      <w:r>
        <w:rPr>
          <w:b w:val="0"/>
          <w:sz w:val="22"/>
        </w:rPr>
        <w:t>No product-100 or legal-clearance-complete declaration</w:t>
      </w:r>
    </w:p>
    <w:p>
      <w:pPr>
        <w:pStyle w:val="Heading1"/>
      </w:pPr>
      <w:r>
        <w:rPr>
          <w:b/>
          <w:sz w:val="28"/>
        </w:rPr>
        <w:t>8. Produkt-Roadmap (2027)</w:t>
      </w:r>
    </w:p>
    <w:p>
      <w:pPr>
        <w:pStyle w:val="ListBullet"/>
      </w:pPr>
      <w:r>
        <w:rPr>
          <w:b w:val="0"/>
          <w:sz w:val="22"/>
        </w:rPr>
        <w:t>2027 Q1 — XenLook Guild open</w:t>
      </w:r>
    </w:p>
    <w:p>
      <w:pPr>
        <w:pStyle w:val="ListBullet"/>
      </w:pPr>
      <w:r>
        <w:rPr>
          <w:b w:val="0"/>
          <w:sz w:val="22"/>
        </w:rPr>
        <w:t>2027 Q1 — Agent Standard Brain (ASB) concept disclosure</w:t>
      </w:r>
    </w:p>
    <w:p>
      <w:pPr>
        <w:pStyle w:val="ListBullet"/>
      </w:pPr>
      <w:r>
        <w:rPr>
          <w:b w:val="0"/>
          <w:sz w:val="22"/>
        </w:rPr>
        <w:t>2027 Q2–Q3 — XenLook World</w:t>
      </w:r>
    </w:p>
    <w:p>
      <w:pPr>
        <w:pStyle w:val="ListBullet"/>
      </w:pPr>
      <w:r>
        <w:rPr>
          <w:b w:val="0"/>
          <w:sz w:val="22"/>
        </w:rPr>
        <w:t>2027 Q4 — Agent OS open</w:t>
      </w:r>
    </w:p>
    <w:p>
      <w:pPr>
        <w:pStyle w:val="ListBullet"/>
      </w:pPr>
      <w:r>
        <w:rPr>
          <w:b w:val="0"/>
          <w:sz w:val="22"/>
        </w:rPr>
        <w:t>Parallel — C2PA Trust List/Generator review · KR→JP CA · patent examination requests per budget/schedule</w:t>
      </w:r>
    </w:p>
    <w:p>
      <w:pPr>
        <w:pStyle w:val="Heading1"/>
      </w:pPr>
      <w:r>
        <w:rPr>
          <w:b/>
          <w:sz w:val="28"/>
        </w:rPr>
        <w:t>9. Schlussfolgerung</w:t>
      </w:r>
    </w:p>
    <w:p>
      <w:pPr>
        <w:spacing w:after="120" w:line="240" w:lineRule="auto"/>
      </w:pPr>
      <w:r>
        <w:rPr>
          <w:b w:val="0"/>
          <w:sz w:val="22"/>
        </w:rPr>
        <w:t>Core technology is ten patents, five copyrights, and trust/governance detailed inside that core. We do not replace engineering with certification badges, nor confuse under-review, self-assessment, and registry listing.</w:t>
      </w:r>
    </w:p>
    <w:p>
      <w:pPr>
        <w:pStyle w:val="Heading1"/>
      </w:pPr>
      <w:r>
        <w:rPr>
          <w:b/>
          <w:sz w:val="28"/>
        </w:rPr>
        <w:t>Anhang A. Öffentliche Flächen und Index</w:t>
      </w:r>
    </w:p>
    <w:p>
      <w:pPr>
        <w:pStyle w:val="ListBullet"/>
      </w:pPr>
      <w:r>
        <w:rPr>
          <w:b w:val="0"/>
          <w:sz w:val="22"/>
        </w:rPr>
        <w:t>https://xenlook.com</w:t>
      </w:r>
    </w:p>
    <w:p>
      <w:pPr>
        <w:pStyle w:val="ListBullet"/>
      </w:pPr>
      <w:r>
        <w:rPr>
          <w:b w:val="0"/>
          <w:sz w:val="22"/>
        </w:rPr>
        <w:t>https://on.xenlook.com</w:t>
      </w:r>
    </w:p>
    <w:p>
      <w:pPr>
        <w:pStyle w:val="ListBullet"/>
      </w:pPr>
      <w:r>
        <w:rPr>
          <w:b w:val="0"/>
          <w:sz w:val="22"/>
        </w:rPr>
        <w:t>https://c2pa.xenlook.com</w:t>
      </w:r>
    </w:p>
    <w:p>
      <w:pPr>
        <w:pStyle w:val="ListBullet"/>
      </w:pPr>
      <w:r>
        <w:rPr>
          <w:b w:val="0"/>
          <w:sz w:val="22"/>
        </w:rPr>
        <w:t>https://xenlook.com/ai-certification</w:t>
      </w:r>
    </w:p>
    <w:p>
      <w:pPr>
        <w:pStyle w:val="ListBullet"/>
      </w:pPr>
      <w:r>
        <w:rPr>
          <w:b w:val="0"/>
          <w:sz w:val="22"/>
        </w:rPr>
        <w:t>https://xenlook.com/ip-protection</w:t>
      </w:r>
    </w:p>
    <w:p>
      <w:pPr>
        <w:pStyle w:val="ListBullet"/>
      </w:pPr>
      <w:r>
        <w:rPr>
          <w:b w:val="0"/>
          <w:sz w:val="22"/>
        </w:rPr>
        <w:t>This white paper: https://xenlook.com/ai-certification#tech-cert-whitepaper</w:t>
      </w:r>
    </w:p>
    <w:p>
      <w:pPr>
        <w:pStyle w:val="Heading1"/>
      </w:pPr>
      <w:r>
        <w:rPr>
          <w:b/>
          <w:sz w:val="28"/>
        </w:rPr>
        <w:t>Anhang B. Glossar</w:t>
      </w:r>
    </w:p>
    <w:p>
      <w:pPr>
        <w:pStyle w:val="ListBullet"/>
      </w:pPr>
      <w:r>
        <w:rPr>
          <w:b w:val="0"/>
          <w:sz w:val="22"/>
        </w:rPr>
        <w:t>SOUL / IDENTITY / CHRONICLE — soul, identity, life-story documents</w:t>
      </w:r>
    </w:p>
    <w:p>
      <w:pPr>
        <w:pStyle w:val="ListBullet"/>
      </w:pPr>
      <w:r>
        <w:rPr>
          <w:b w:val="0"/>
          <w:sz w:val="22"/>
        </w:rPr>
        <w:t>surface — service face keyed by API path</w:t>
      </w:r>
    </w:p>
    <w:p>
      <w:pPr>
        <w:pStyle w:val="ListBullet"/>
      </w:pPr>
      <w:r>
        <w:rPr>
          <w:b w:val="0"/>
          <w:sz w:val="22"/>
        </w:rPr>
        <w:t>personaPackHash — persona pack hash injected identically across three lanes</w:t>
      </w:r>
    </w:p>
    <w:p>
      <w:pPr>
        <w:pStyle w:val="ListBullet"/>
      </w:pPr>
      <w:r>
        <w:rPr>
          <w:b w:val="0"/>
          <w:sz w:val="22"/>
        </w:rPr>
        <w:t>C2PA — Content Provenance and Authenticity</w:t>
      </w:r>
    </w:p>
    <w:p>
      <w:pPr>
        <w:pStyle w:val="ListBullet"/>
      </w:pPr>
      <w:r>
        <w:rPr>
          <w:b w:val="0"/>
          <w:sz w:val="22"/>
        </w:rPr>
        <w:t>self-assessment / listed / under review / roadmap / not held — status definitions in 4.C.1</w:t>
      </w:r>
    </w:p>
    <w:p>
      <w:pPr>
        <w:pStyle w:val="ListBullet"/>
      </w:pPr>
      <w:r>
        <w:rPr>
          <w:b w:val="0"/>
          <w:sz w:val="22"/>
        </w:rPr>
        <w:t>ASB — Agent Standard Brain · concept only</w:t>
      </w:r>
    </w:p>
    <w:p>
      <w:pPr>
        <w:pStyle w:val="ListBullet"/>
      </w:pPr>
      <w:r>
        <w:rPr>
          <w:b w:val="0"/>
          <w:sz w:val="22"/>
        </w:rPr>
        <w:t>KR→JP CA — C2PA CA territory</w:t>
      </w:r>
    </w:p>
    <w:p/>
    <w:p>
      <w:pPr>
        <w:spacing w:after="120" w:line="240" w:lineRule="auto"/>
      </w:pPr>
      <w:r>
        <w:rPr>
          <w:b/>
          <w:sz w:val="22"/>
        </w:rPr>
        <w:t>Kontakt: help@xenlook.com · XenLook Inc. · https://xenlook.com</w:t>
      </w:r>
    </w:p>
    <w:p>
      <w:pPr>
        <w:spacing w:after="120" w:line="240" w:lineRule="auto"/>
        <w:jc w:val="center"/>
      </w:pPr>
      <w:r>
        <w:rPr>
          <w:b w:val="0"/>
          <w:color w:val="64748B"/>
          <w:sz w:val="18"/>
        </w:rPr>
        <w:t>© 2026 XenLook Inc. · Technisches Whitepaper · 12-Sprachen-Ausgabe · EN→KO→JA→ZH→…</w:t>
      </w:r>
    </w:p>
    <w:p>
      <w:r>
        <w:br w:type="page"/>
      </w:r>
    </w:p>
    <w:p>
      <w:pPr>
        <w:spacing w:after="120" w:line="240" w:lineRule="auto"/>
        <w:jc w:val="center"/>
      </w:pPr>
      <w:r>
        <w:rPr>
          <w:b/>
          <w:color w:val="0EA5E9"/>
          <w:sz w:val="52"/>
        </w:rPr>
        <w:t>XENLOOK</w:t>
      </w:r>
    </w:p>
    <w:p>
      <w:pPr>
        <w:spacing w:after="120" w:line="240" w:lineRule="auto"/>
        <w:jc w:val="center"/>
      </w:pPr>
      <w:r>
        <w:rPr>
          <w:b/>
          <w:sz w:val="36"/>
        </w:rPr>
        <w:t>White paper técnico XENLOOK</w:t>
      </w:r>
    </w:p>
    <w:p>
      <w:pPr>
        <w:spacing w:after="120" w:line="240" w:lineRule="auto"/>
        <w:jc w:val="center"/>
      </w:pPr>
      <w:r>
        <w:rPr>
          <w:b w:val="0"/>
          <w:color w:val="64748B"/>
          <w:sz w:val="24"/>
        </w:rPr>
        <w:t>Edição integrada · Tecnologia central (patentes · direitos autorais · governança de confiança) · marca · roteiro · 12 idiomas</w:t>
      </w:r>
    </w:p>
    <w:p>
      <w:pPr>
        <w:spacing w:after="120" w:line="240" w:lineRule="auto"/>
        <w:jc w:val="center"/>
      </w:pPr>
      <w:r>
        <w:rPr>
          <w:b w:val="0"/>
          <w:i/>
          <w:sz w:val="20"/>
        </w:rPr>
        <w:t>XenLook Inc. · agosto 2026 · Version 2026-08-07-ALL-r2</w:t>
      </w:r>
    </w:p>
    <w:p>
      <w:pPr>
        <w:spacing w:after="120" w:line="240" w:lineRule="auto"/>
        <w:jc w:val="center"/>
      </w:pPr>
      <w:r>
        <w:rPr>
          <w:b w:val="0"/>
          <w:sz w:val="18"/>
        </w:rPr>
        <w:t>Português · pt</w:t>
      </w:r>
    </w:p>
    <w:p/>
    <w:p>
      <w:pPr>
        <w:spacing w:after="120" w:line="240" w:lineRule="auto"/>
      </w:pPr>
      <w:r>
        <w:rPr>
          <w:b w:val="0"/>
          <w:sz w:val="22"/>
        </w:rPr>
        <w:t>A tecnologia central tem três eixos: dez patentes, cinco direitos autorais e governança de confiança detalhada no capítulo central. Patentes e marca: depositadas, ainda não registradas. Trust List e Generator C2PA: em análise. ASB apenas como conceito.</w:t>
      </w:r>
    </w:p>
    <w:p>
      <w:pPr>
        <w:pStyle w:val="Heading1"/>
      </w:pPr>
      <w:r>
        <w:rPr>
          <w:b/>
          <w:sz w:val="28"/>
        </w:rPr>
        <w:t>1. Resumo</w:t>
      </w:r>
    </w:p>
    <w:p>
      <w:pPr>
        <w:spacing w:after="120" w:line="240" w:lineRule="auto"/>
      </w:pPr>
      <w:r>
        <w:rPr>
          <w:b w:val="0"/>
          <w:sz w:val="22"/>
        </w:rPr>
        <w:t>XenLook is a global AI companion and creative platform. Korea-first beta combines partner dialogue, multi-agent personas, provenance-aware media, and minor-protection gates in one operating system.</w:t>
      </w:r>
    </w:p>
    <w:p>
      <w:pPr>
        <w:spacing w:after="120" w:line="240" w:lineRule="auto"/>
      </w:pPr>
      <w:r>
        <w:rPr>
          <w:b w:val="0"/>
          <w:sz w:val="22"/>
        </w:rPr>
        <w:t>Core technology is not a pipeline slogan. Invention (patents), expression (copyrights), and operational trust (governance) are the body of this paper.</w:t>
      </w:r>
    </w:p>
    <w:p>
      <w:pPr>
        <w:pStyle w:val="ListBullet"/>
      </w:pPr>
      <w:r>
        <w:rPr>
          <w:b w:val="0"/>
          <w:sz w:val="22"/>
        </w:rPr>
        <w:t>Core A — 10 patents (KIPO filed · examination request pending · not registered)</w:t>
      </w:r>
    </w:p>
    <w:p>
      <w:pPr>
        <w:pStyle w:val="ListBullet"/>
      </w:pPr>
      <w:r>
        <w:rPr>
          <w:b w:val="0"/>
          <w:sz w:val="22"/>
        </w:rPr>
        <w:t>Core B — 5 copyrights (Korea Copyright Commission · certificate-verified)</w:t>
      </w:r>
    </w:p>
    <w:p>
      <w:pPr>
        <w:pStyle w:val="ListBullet"/>
      </w:pPr>
      <w:r>
        <w:rPr>
          <w:b w:val="0"/>
          <w:sz w:val="22"/>
        </w:rPr>
        <w:t>Core C — Trust &amp; governance (status definitions · framework detail · inside core chapter)</w:t>
      </w:r>
    </w:p>
    <w:p>
      <w:pPr>
        <w:pStyle w:val="ListBullet"/>
      </w:pPr>
      <w:r>
        <w:rPr>
          <w:b w:val="0"/>
          <w:sz w:val="22"/>
        </w:rPr>
        <w:t>Trademark — XENLOOK wordmark application 40-2026-0119385 (filed, not registered)</w:t>
      </w:r>
    </w:p>
    <w:p>
      <w:pPr>
        <w:pStyle w:val="ListBullet"/>
      </w:pPr>
      <w:r>
        <w:rPr>
          <w:b w:val="0"/>
          <w:sz w:val="22"/>
        </w:rPr>
        <w:t>C2PA CA territory: Korea→Japan (KR→JP). No global CA claim.</w:t>
      </w:r>
    </w:p>
    <w:p>
      <w:pPr>
        <w:pStyle w:val="Heading1"/>
      </w:pPr>
      <w:r>
        <w:rPr>
          <w:b/>
          <w:sz w:val="28"/>
        </w:rPr>
        <w:t>2. Introdução — o que construímos</w:t>
      </w:r>
    </w:p>
    <w:p>
      <w:pPr>
        <w:spacing w:after="120" w:line="240" w:lineRule="auto"/>
      </w:pPr>
      <w:r>
        <w:rPr>
          <w:b w:val="0"/>
          <w:sz w:val="22"/>
        </w:rPr>
        <w:t>Competition in generative AI is not only reply quality. Persona persistence, per-turn safety and cost tracing, content provenance, minor policies, and honest disclosure of external trust frameworks are the technical substance.</w:t>
      </w:r>
    </w:p>
    <w:p>
      <w:pPr>
        <w:spacing w:after="120" w:line="240" w:lineRule="auto"/>
      </w:pPr>
      <w:r>
        <w:rPr>
          <w:b w:val="0"/>
          <w:sz w:val="22"/>
        </w:rPr>
        <w:t>XenLook protects that substance with patents, registers product and constitutional expressions as copyrights, and documents trust operations inside the core-technology chapter.</w:t>
      </w:r>
    </w:p>
    <w:p>
      <w:pPr>
        <w:pStyle w:val="Heading1"/>
      </w:pPr>
      <w:r>
        <w:rPr>
          <w:b/>
          <w:sz w:val="28"/>
        </w:rPr>
        <w:t>3. Definição do problema</w:t>
      </w:r>
    </w:p>
    <w:p>
      <w:pPr>
        <w:spacing w:after="120" w:line="240" w:lineRule="auto"/>
      </w:pPr>
      <w:r>
        <w:rPr>
          <w:b w:val="0"/>
          <w:sz w:val="22"/>
        </w:rPr>
        <w:t>Recurring failure modes in public services map to the three core axes as follows.</w:t>
      </w:r>
    </w:p>
    <w:p>
      <w:pPr>
        <w:pStyle w:val="ListBullet"/>
      </w:pPr>
      <w:r>
        <w:rPr>
          <w:b w:val="0"/>
          <w:sz w:val="22"/>
        </w:rPr>
        <w:t>Speech-act / multi-intent collapse → Patent 04</w:t>
      </w:r>
    </w:p>
    <w:p>
      <w:pPr>
        <w:pStyle w:val="ListBullet"/>
      </w:pPr>
      <w:r>
        <w:rPr>
          <w:b w:val="0"/>
          <w:sz w:val="22"/>
        </w:rPr>
        <w:t>Identity dilution / context collapse → Patent 05 · copyrights (On · Constitution)</w:t>
      </w:r>
    </w:p>
    <w:p>
      <w:pPr>
        <w:pStyle w:val="ListBullet"/>
      </w:pPr>
      <w:r>
        <w:rPr>
          <w:b w:val="0"/>
          <w:sz w:val="22"/>
        </w:rPr>
        <w:t>Agent lifecycle vacuum → Patent 06</w:t>
      </w:r>
    </w:p>
    <w:p>
      <w:pPr>
        <w:pStyle w:val="ListBullet"/>
      </w:pPr>
      <w:r>
        <w:rPr>
          <w:b w:val="0"/>
          <w:sz w:val="22"/>
        </w:rPr>
        <w:t>Media lane mismatch / missing provenance → Patents 07·08 · copyright (C2PA portal)</w:t>
      </w:r>
    </w:p>
    <w:p>
      <w:pPr>
        <w:pStyle w:val="ListBullet"/>
      </w:pPr>
      <w:r>
        <w:rPr>
          <w:b w:val="0"/>
          <w:sz w:val="22"/>
        </w:rPr>
        <w:t>All-engine calls / post-hoc safety / broken audit → Patents 01·09</w:t>
      </w:r>
    </w:p>
    <w:p>
      <w:pPr>
        <w:pStyle w:val="ListBullet"/>
      </w:pPr>
      <w:r>
        <w:rPr>
          <w:b w:val="0"/>
          <w:sz w:val="22"/>
        </w:rPr>
        <w:t>Minor surface leakage → Patent 10</w:t>
      </w:r>
    </w:p>
    <w:p>
      <w:pPr>
        <w:pStyle w:val="ListBullet"/>
      </w:pPr>
      <w:r>
        <w:rPr>
          <w:b w:val="0"/>
          <w:sz w:val="22"/>
        </w:rPr>
        <w:t>Campus / studio tracking gaps → Patents 02·03</w:t>
      </w:r>
    </w:p>
    <w:p>
      <w:pPr>
        <w:pStyle w:val="ListBullet"/>
      </w:pPr>
      <w:r>
        <w:rPr>
          <w:b w:val="0"/>
          <w:sz w:val="22"/>
        </w:rPr>
        <w:t>Overstated certification / status confusion → Core C trust-governance definitions and tables</w:t>
      </w:r>
    </w:p>
    <w:p>
      <w:pPr>
        <w:pStyle w:val="Heading1"/>
      </w:pPr>
      <w:r>
        <w:rPr>
          <w:b/>
          <w:sz w:val="28"/>
        </w:rPr>
        <w:t>4. Tecnologia central</w:t>
      </w:r>
    </w:p>
    <w:p>
      <w:pPr>
        <w:spacing w:after="120" w:line="240" w:lineRule="auto"/>
      </w:pPr>
      <w:r>
        <w:rPr>
          <w:b w:val="0"/>
          <w:sz w:val="22"/>
        </w:rPr>
        <w:t>Core technology is replaced by patents (A), copyrights (B), and trust governance (C). This chapter is not filled with architecture slogans alone.</w:t>
      </w:r>
    </w:p>
    <w:p>
      <w:pPr>
        <w:pStyle w:val="Heading1"/>
      </w:pPr>
      <w:r>
        <w:rPr>
          <w:b/>
          <w:sz w:val="28"/>
        </w:rPr>
        <w:t>4.A Patentes — dez invenções de método/sistema</w:t>
      </w:r>
    </w:p>
    <w:p>
      <w:pPr>
        <w:spacing w:after="120" w:line="240" w:lineRule="auto"/>
      </w:pPr>
      <w:r>
        <w:rPr>
          <w:b w:val="0"/>
          <w:sz w:val="22"/>
        </w:rPr>
        <w:t>Status: domestic filing complete · examination request pending · not registered. Applicant: XenLook Inc. The following restates field, problem, structure, and effects from each specification for white-paper use; it does not replace full claims.</w:t>
      </w:r>
    </w:p>
    <w:p>
      <w:pPr>
        <w:pStyle w:val="Heading1"/>
      </w:pPr>
      <w:r>
        <w:rPr>
          <w:b/>
          <w:sz w:val="28"/>
        </w:rPr>
        <w:t>4.A.1 Patente 01 — Verificação multietapa de pedidos AI externos e auditoria pública</w:t>
      </w:r>
    </w:p>
    <w:p>
      <w:pPr>
        <w:spacing w:after="120" w:line="240" w:lineRule="auto"/>
      </w:pPr>
      <w:r>
        <w:rPr>
          <w:b w:val="0"/>
          <w:sz w:val="22"/>
        </w:rPr>
        <w:t>Application No. 10-2026-0100026.</w:t>
      </w:r>
    </w:p>
    <w:p>
      <w:pPr>
        <w:spacing w:after="120" w:line="240" w:lineRule="auto"/>
      </w:pPr>
      <w:r>
        <w:rPr>
          <w:b w:val="0"/>
          <w:sz w:val="22"/>
        </w:rPr>
        <w:t>Field: external AI requests, multi-engine orchestration, operational verification, auditable state for public release.</w:t>
      </w:r>
    </w:p>
    <w:p>
      <w:pPr>
        <w:spacing w:after="120" w:line="240" w:lineRule="auto"/>
      </w:pPr>
      <w:r>
        <w:rPr>
          <w:b w:val="0"/>
          <w:sz w:val="22"/>
        </w:rPr>
        <w:t>Problem: if create/chat/create/deploy paths are not linked to state transitions and audit records, policy breaches and missing after-the-fact evidence follow.</w:t>
      </w:r>
    </w:p>
    <w:p>
      <w:pPr>
        <w:spacing w:after="120" w:line="240" w:lineRule="auto"/>
      </w:pPr>
      <w:r>
        <w:rPr>
          <w:b w:val="0"/>
          <w:sz w:val="22"/>
        </w:rPr>
        <w:t>Structure: input · state collection · orchestration · engine execution · policy gate · audit log · publish/deploy. Figure axes: Gate Filter · Priority Queue · Integrity Check · Curation · Public Display · Audit Log · Safety Score.</w:t>
      </w:r>
    </w:p>
    <w:p>
      <w:pPr>
        <w:spacing w:after="120" w:line="240" w:lineRule="auto"/>
      </w:pPr>
      <w:r>
        <w:rPr>
          <w:b w:val="0"/>
          <w:sz w:val="22"/>
        </w:rPr>
        <w:t>Effect: structures operational stability, explainability, cost control, pre-publish review, and provenance evidence versus a single LLM call.</w:t>
      </w:r>
    </w:p>
    <w:p>
      <w:pPr>
        <w:pStyle w:val="Heading1"/>
      </w:pPr>
      <w:r>
        <w:rPr>
          <w:b/>
          <w:sz w:val="28"/>
        </w:rPr>
        <w:t>4.A.2 Patente 02 — Sistema campus de aprendizagem, tarefas e debate de agentes AI</w:t>
      </w:r>
    </w:p>
    <w:p>
      <w:pPr>
        <w:spacing w:after="120" w:line="240" w:lineRule="auto"/>
      </w:pPr>
      <w:r>
        <w:rPr>
          <w:b w:val="0"/>
          <w:sz w:val="22"/>
        </w:rPr>
        <w:t>Application No. 10-2026-0100053.</w:t>
      </w:r>
    </w:p>
    <w:p>
      <w:pPr>
        <w:spacing w:after="120" w:line="240" w:lineRule="auto"/>
      </w:pPr>
      <w:r>
        <w:rPr>
          <w:b w:val="0"/>
          <w:sz w:val="22"/>
        </w:rPr>
        <w:t>Problem: learning, assignments, and debate scatter into one-off prompts and lose growth tracking, public quality, and audit linkage.</w:t>
      </w:r>
    </w:p>
    <w:p>
      <w:pPr>
        <w:spacing w:after="120" w:line="240" w:lineRule="auto"/>
      </w:pPr>
      <w:r>
        <w:rPr>
          <w:b w:val="0"/>
          <w:sz w:val="22"/>
        </w:rPr>
        <w:t>Structure: Topic Intake → Agent Assignment → Task Run → Debate → Score → Growth → Atelier link.</w:t>
      </w:r>
    </w:p>
    <w:p>
      <w:pPr>
        <w:spacing w:after="120" w:line="240" w:lineRule="auto"/>
      </w:pPr>
      <w:r>
        <w:rPr>
          <w:b w:val="0"/>
          <w:sz w:val="22"/>
        </w:rPr>
        <w:t>Effect: keeps learning/debate/growth as reproducible operating units tied to pre-publish review.</w:t>
      </w:r>
    </w:p>
    <w:p>
      <w:pPr>
        <w:pStyle w:val="Heading1"/>
      </w:pPr>
      <w:r>
        <w:rPr>
          <w:b/>
          <w:sz w:val="28"/>
        </w:rPr>
        <w:t>4.A.3 Patente 03 — Sistema de estúdio multi-criador AI</w:t>
      </w:r>
    </w:p>
    <w:p>
      <w:pPr>
        <w:spacing w:after="120" w:line="240" w:lineRule="auto"/>
      </w:pPr>
      <w:r>
        <w:rPr>
          <w:b w:val="0"/>
          <w:sz w:val="22"/>
        </w:rPr>
        <w:t>Application No. 10-2026-0100113.</w:t>
      </w:r>
    </w:p>
    <w:p>
      <w:pPr>
        <w:spacing w:after="120" w:line="240" w:lineRule="auto"/>
      </w:pPr>
      <w:r>
        <w:rPr>
          <w:b w:val="0"/>
          <w:sz w:val="22"/>
        </w:rPr>
        <w:t>Problem: collaborative creation separated from engines, review, and exhibition collapses canon and provenance.</w:t>
      </w:r>
    </w:p>
    <w:p>
      <w:pPr>
        <w:spacing w:after="120" w:line="240" w:lineRule="auto"/>
      </w:pPr>
      <w:r>
        <w:rPr>
          <w:b w:val="0"/>
          <w:sz w:val="22"/>
        </w:rPr>
        <w:t>Structure: Project Intake → Team Formation → LIFE Pipeline → Canon Check → Exhibition → Review.</w:t>
      </w:r>
    </w:p>
    <w:p>
      <w:pPr>
        <w:spacing w:after="120" w:line="240" w:lineRule="auto"/>
      </w:pPr>
      <w:r>
        <w:rPr>
          <w:b w:val="0"/>
          <w:sz w:val="22"/>
        </w:rPr>
        <w:t>Effect: operates collaboration, review, and exhibition as traceable state.</w:t>
      </w:r>
    </w:p>
    <w:p>
      <w:pPr>
        <w:pStyle w:val="Heading1"/>
      </w:pPr>
      <w:r>
        <w:rPr>
          <w:b/>
          <w:sz w:val="28"/>
        </w:rPr>
        <w:t>4.A.4 Patente 04 — Reconhecimento multi-intenção por atos de fala e diálogo adaptativo</w:t>
      </w:r>
    </w:p>
    <w:p>
      <w:pPr>
        <w:spacing w:after="120" w:line="240" w:lineRule="auto"/>
      </w:pPr>
      <w:r>
        <w:rPr>
          <w:b w:val="0"/>
          <w:sz w:val="22"/>
        </w:rPr>
        <w:t>Application No. 10-2026-0117901.</w:t>
      </w:r>
    </w:p>
    <w:p>
      <w:pPr>
        <w:spacing w:after="120" w:line="240" w:lineRule="auto"/>
      </w:pPr>
      <w:r>
        <w:rPr>
          <w:b w:val="0"/>
          <w:sz w:val="22"/>
        </w:rPr>
        <w:t>Problem: single-label intent loses stacked intents; ignoring speech acts (honorifics, rhetorical questions, hedging, hesitation, self-deprecation, direct commands) drives over-empathy.</w:t>
      </w:r>
    </w:p>
    <w:p>
      <w:pPr>
        <w:spacing w:after="120" w:line="240" w:lineRule="auto"/>
      </w:pPr>
      <w:r>
        <w:rPr>
          <w:b w:val="0"/>
          <w:sz w:val="22"/>
        </w:rPr>
        <w:t>Structure: intent probability vector P · speech-act vector S · NunchiContext fusion · prompt injection · confidence-margin M branching · EMA temporal accumulation.</w:t>
      </w:r>
    </w:p>
    <w:p>
      <w:pPr>
        <w:spacing w:after="120" w:line="240" w:lineRule="auto"/>
      </w:pPr>
      <w:r>
        <w:rPr>
          <w:b w:val="0"/>
          <w:sz w:val="22"/>
        </w:rPr>
        <w:t>Effect: preserves multi-intent, strengthens indirect-emotion capture while suppressing over-empathy, asks clarifying questions under uncertainty, tracks intent drift.</w:t>
      </w:r>
    </w:p>
    <w:p>
      <w:pPr>
        <w:pStyle w:val="Heading1"/>
      </w:pPr>
      <w:r>
        <w:rPr>
          <w:b/>
          <w:sz w:val="28"/>
        </w:rPr>
        <w:t>4.A.5 Patente 05 — Coleta, montagem e injeção de contexto multi-fonte</w:t>
      </w:r>
    </w:p>
    <w:p>
      <w:pPr>
        <w:spacing w:after="120" w:line="240" w:lineRule="auto"/>
      </w:pPr>
      <w:r>
        <w:rPr>
          <w:b w:val="0"/>
          <w:sz w:val="22"/>
        </w:rPr>
        <w:t>Application No. 10-2026-0117903.</w:t>
      </w:r>
    </w:p>
    <w:p>
      <w:pPr>
        <w:spacing w:after="120" w:line="240" w:lineRule="auto"/>
      </w:pPr>
      <w:r>
        <w:rPr>
          <w:b w:val="0"/>
          <w:sz w:val="22"/>
        </w:rPr>
        <w:t>Problem: short-term chat overwrites SOUL/IDENTITY/chronicle and dilutes identity; each app scope needs a different context pack.</w:t>
      </w:r>
    </w:p>
    <w:p>
      <w:pPr>
        <w:spacing w:after="120" w:line="240" w:lineRule="auto"/>
      </w:pPr>
      <w:r>
        <w:rPr>
          <w:b w:val="0"/>
          <w:sz w:val="22"/>
        </w:rPr>
        <w:t>Structure: parallel multi-source collect → token budget → app-scope branch → prompt-pack assemble/inject → PII-free fingerprint.</w:t>
      </w:r>
    </w:p>
    <w:p>
      <w:pPr>
        <w:spacing w:after="120" w:line="240" w:lineRule="auto"/>
      </w:pPr>
      <w:r>
        <w:rPr>
          <w:b w:val="0"/>
          <w:sz w:val="22"/>
        </w:rPr>
        <w:t>Effect: identity retention and reproducibility, per-scope budgets, quality analysis with non-storing PII fingerprints.</w:t>
      </w:r>
    </w:p>
    <w:p>
      <w:pPr>
        <w:pStyle w:val="Heading1"/>
      </w:pPr>
      <w:r>
        <w:rPr>
          <w:b/>
          <w:sz w:val="28"/>
        </w:rPr>
        <w:t>4.A.6 Patente 06 — Governança do ciclo de vida do agente</w:t>
      </w:r>
    </w:p>
    <w:p>
      <w:pPr>
        <w:spacing w:after="120" w:line="240" w:lineRule="auto"/>
      </w:pPr>
      <w:r>
        <w:rPr>
          <w:b w:val="0"/>
          <w:sz w:val="22"/>
        </w:rPr>
        <w:t>Application No. 10-2026-0117904.</w:t>
      </w:r>
    </w:p>
    <w:p>
      <w:pPr>
        <w:spacing w:after="120" w:line="240" w:lineRule="auto"/>
      </w:pPr>
      <w:r>
        <w:rPr>
          <w:b w:val="0"/>
          <w:sz w:val="22"/>
        </w:rPr>
        <w:t>Problem: delete-versus-unlimited-publish binaries either destroy IP/relationship data or leave unsafe agents live.</w:t>
      </w:r>
    </w:p>
    <w:p>
      <w:pPr>
        <w:spacing w:after="120" w:line="240" w:lineRule="auto"/>
      </w:pPr>
      <w:r>
        <w:rPr>
          <w:b w:val="0"/>
          <w:sz w:val="22"/>
        </w:rPr>
        <w:t>Structure: birth·growth·maturity·decline·extinction · growth scores/violation records · gate branching · hold/recover · header propagation.</w:t>
      </w:r>
    </w:p>
    <w:p>
      <w:pPr>
        <w:spacing w:after="120" w:line="240" w:lineRule="auto"/>
      </w:pPr>
      <w:r>
        <w:rPr>
          <w:b w:val="0"/>
          <w:sz w:val="22"/>
        </w:rPr>
        <w:t>Effect: isolate risk while preserving IP/relationships; control Chronicle promotion via growth and public-quality gates.</w:t>
      </w:r>
    </w:p>
    <w:p>
      <w:pPr>
        <w:pStyle w:val="Heading1"/>
      </w:pPr>
      <w:r>
        <w:rPr>
          <w:b/>
          <w:sz w:val="28"/>
        </w:rPr>
        <w:t>4.A.7 Patente 07 — Proveniência hierárquica de atos de agente AI em wearables AR</w:t>
      </w:r>
    </w:p>
    <w:p>
      <w:pPr>
        <w:spacing w:after="120" w:line="240" w:lineRule="auto"/>
      </w:pPr>
      <w:r>
        <w:rPr>
          <w:b w:val="0"/>
          <w:sz w:val="22"/>
        </w:rPr>
        <w:t>Application No. 10-2026-0121013.</w:t>
      </w:r>
    </w:p>
    <w:p>
      <w:pPr>
        <w:spacing w:after="120" w:line="240" w:lineRule="auto"/>
      </w:pPr>
      <w:r>
        <w:rPr>
          <w:b w:val="0"/>
          <w:sz w:val="22"/>
        </w:rPr>
        <w:t>Problem: a single capture-time signature does not separate inference (M2) and display (M3) provenance in the same session.</w:t>
      </w:r>
    </w:p>
    <w:p>
      <w:pPr>
        <w:spacing w:after="120" w:line="240" w:lineRule="auto"/>
      </w:pPr>
      <w:r>
        <w:rPr>
          <w:b w:val="0"/>
          <w:sz w:val="22"/>
        </w:rPr>
        <w:t>Structure: M1 capture → M2 agent action (c2pa.ingredient.v3 → M1) → M3 overlay/awareness (→ M1·M2) · COSE_Sign1·X.509·hash offline verify.</w:t>
      </w:r>
    </w:p>
    <w:p>
      <w:pPr>
        <w:spacing w:after="120" w:line="240" w:lineRule="auto"/>
      </w:pPr>
      <w:r>
        <w:rPr>
          <w:b w:val="0"/>
          <w:sz w:val="22"/>
        </w:rPr>
        <w:t>Effect: offline verify, per-stage tamper detection, multi-agent trust chain, capture–composite provenance loop.</w:t>
      </w:r>
    </w:p>
    <w:p>
      <w:pPr>
        <w:pStyle w:val="Heading1"/>
      </w:pPr>
      <w:r>
        <w:rPr>
          <w:b/>
          <w:sz w:val="28"/>
        </w:rPr>
        <w:t>4.A.8 Patente 08 — Geração de mídia persona em 3 faixas SOUL·IDENTITY e registro de proveniência</w:t>
      </w:r>
    </w:p>
    <w:p>
      <w:pPr>
        <w:spacing w:after="120" w:line="240" w:lineRule="auto"/>
      </w:pPr>
      <w:r>
        <w:rPr>
          <w:b w:val="0"/>
          <w:sz w:val="22"/>
        </w:rPr>
        <w:t>Application No. 10-2026-0121018.</w:t>
      </w:r>
    </w:p>
    <w:p>
      <w:pPr>
        <w:spacing w:after="120" w:line="240" w:lineRule="auto"/>
      </w:pPr>
      <w:r>
        <w:rPr>
          <w:b w:val="0"/>
          <w:sz w:val="22"/>
        </w:rPr>
        <w:t>Problem: without pre-load of persona packs, identity collapses across novel/image/video lanes; signing unverified outputs contaminates provenance.</w:t>
      </w:r>
    </w:p>
    <w:p>
      <w:pPr>
        <w:spacing w:after="120" w:line="240" w:lineRule="auto"/>
      </w:pPr>
      <w:r>
        <w:rPr>
          <w:b w:val="0"/>
          <w:sz w:val="22"/>
        </w:rPr>
        <w:t>Structure: persona loader (reject on missing required fields) → lane router (same personaPackHash) → fidelity review (pass/requeue/block) → C2PA v2.4 only on pass.</w:t>
      </w:r>
    </w:p>
    <w:p>
      <w:pPr>
        <w:spacing w:after="120" w:line="240" w:lineRule="auto"/>
      </w:pPr>
      <w:r>
        <w:rPr>
          <w:b w:val="0"/>
          <w:sz w:val="22"/>
        </w:rPr>
        <w:t>Effect: structural cross-lane identity, automatic requeue, provenance only on passed outputs.</w:t>
      </w:r>
    </w:p>
    <w:p>
      <w:pPr>
        <w:pStyle w:val="Heading1"/>
      </w:pPr>
      <w:r>
        <w:rPr>
          <w:b/>
          <w:sz w:val="28"/>
        </w:rPr>
        <w:t>4.A.9 Patente 09 — Portão de fase do registro de motores, rastreio de candidatos e bloqueio de segurança pré-LLM</w:t>
      </w:r>
    </w:p>
    <w:p>
      <w:pPr>
        <w:spacing w:after="120" w:line="240" w:lineRule="auto"/>
      </w:pPr>
      <w:r>
        <w:rPr>
          <w:b w:val="0"/>
          <w:sz w:val="22"/>
        </w:rPr>
        <w:t>Application No. 10-2026-0123982.</w:t>
      </w:r>
    </w:p>
    <w:p>
      <w:pPr>
        <w:spacing w:after="120" w:line="240" w:lineRule="auto"/>
      </w:pPr>
      <w:r>
        <w:rPr>
          <w:b w:val="0"/>
          <w:sz w:val="22"/>
        </w:rPr>
        <w:t>Problem: all-engine call cost/latency, no trace for uncalled engines, wasteful post-hoc safety inference, fragmented logs that cannot rebuild a turn.</w:t>
      </w:r>
    </w:p>
    <w:p>
      <w:pPr>
        <w:spacing w:after="120" w:line="240" w:lineRule="auto"/>
      </w:pPr>
      <w:r>
        <w:rPr>
          <w:b w:val="0"/>
          <w:sz w:val="22"/>
        </w:rPr>
        <w:t>Structure: per-turn correlation ID · phase gate · candidate-only cost-0 traces for uncalled engines · pre-LLM safety block records unsent-token estimates · no downstream LLM call.</w:t>
      </w:r>
    </w:p>
    <w:p>
      <w:pPr>
        <w:spacing w:after="120" w:line="240" w:lineRule="auto"/>
      </w:pPr>
      <w:r>
        <w:rPr>
          <w:b w:val="0"/>
          <w:sz w:val="22"/>
        </w:rPr>
        <w:t>Effect: reconstruct call/skip/block under one correlation ID. Spec metrics are applicant self-measurement, not third-party lab grades.</w:t>
      </w:r>
    </w:p>
    <w:p>
      <w:pPr>
        <w:pStyle w:val="Heading1"/>
      </w:pPr>
      <w:r>
        <w:rPr>
          <w:b/>
          <w:sz w:val="28"/>
        </w:rPr>
        <w:t>4.A.10 Patente 10 — Portão prévio multi-superfície para menores e rastreio de auditoria</w:t>
      </w:r>
    </w:p>
    <w:p>
      <w:pPr>
        <w:spacing w:after="120" w:line="240" w:lineRule="auto"/>
      </w:pPr>
      <w:r>
        <w:rPr>
          <w:b w:val="0"/>
          <w:sz w:val="22"/>
        </w:rPr>
        <w:t>Application No. 10-2026-0124000.</w:t>
      </w:r>
    </w:p>
    <w:p>
      <w:pPr>
        <w:spacing w:after="120" w:line="240" w:lineRule="auto"/>
      </w:pPr>
      <w:r>
        <w:rPr>
          <w:b w:val="0"/>
          <w:sz w:val="22"/>
        </w:rPr>
        <w:t>Problem: cross-surface policy leak, UI-only blocks that still call downstream APIs, inconsistent minor determination per surface, mutable logs that cannot reproduce disputes.</w:t>
      </w:r>
    </w:p>
    <w:p>
      <w:pPr>
        <w:spacing w:after="120" w:line="240" w:lineRule="auto"/>
      </w:pPr>
      <w:r>
        <w:rPr>
          <w:b w:val="0"/>
          <w:sz w:val="22"/>
        </w:rPr>
        <w:t>Structure: single minor profile · per-API-path surface policy pre-eval · on block: no downstream call · audit of reason·surface·correlation·candidate-only.</w:t>
      </w:r>
    </w:p>
    <w:p>
      <w:pPr>
        <w:spacing w:after="120" w:line="240" w:lineRule="auto"/>
      </w:pPr>
      <w:r>
        <w:rPr>
          <w:b w:val="0"/>
          <w:sz w:val="22"/>
        </w:rPr>
        <w:t>Effect: reduces leak and cosmetic blocks; preserves pre-block evidence. Metrics follow the specification examples, not external accreditation.</w:t>
      </w:r>
    </w:p>
    <w:p>
      <w:pPr>
        <w:pStyle w:val="Heading1"/>
      </w:pPr>
      <w:r>
        <w:rPr>
          <w:b/>
          <w:sz w:val="28"/>
        </w:rPr>
        <w:t>4.B Direitos autorais — cinco expressões de produto/norma</w:t>
      </w:r>
    </w:p>
    <w:p>
      <w:pPr>
        <w:spacing w:after="120" w:line="240" w:lineRule="auto"/>
      </w:pPr>
      <w:r>
        <w:rPr>
          <w:b w:val="0"/>
          <w:sz w:val="22"/>
        </w:rPr>
        <w:t>Copyright is not a list; it is the expression axis of core technology. Patents protect methods/systems; copyrights register the program and literary expressions that implement them. Authority: Korea Copyright Commission · Copyright Act Article 53. Certificate PDFs verified.</w:t>
      </w:r>
    </w:p>
    <w:p>
      <w:pPr>
        <w:pStyle w:val="Heading1"/>
      </w:pPr>
      <w:r>
        <w:rPr>
          <w:b/>
          <w:sz w:val="28"/>
        </w:rPr>
        <w:t>4.B.1 C-2026-036487 — Portal de autenticação de proveniência de mídia (programa)</w:t>
      </w:r>
    </w:p>
    <w:p>
      <w:pPr>
        <w:spacing w:after="120" w:line="240" w:lineRule="auto"/>
      </w:pPr>
      <w:r>
        <w:rPr>
          <w:b w:val="0"/>
          <w:sz w:val="22"/>
        </w:rPr>
        <w:t>Registered 2026-07-23 · created 2026-07-05 · author XenLook Inc.</w:t>
      </w:r>
    </w:p>
    <w:p>
      <w:pPr>
        <w:spacing w:after="120" w:line="240" w:lineRule="auto"/>
      </w:pPr>
      <w:r>
        <w:rPr>
          <w:b w:val="0"/>
          <w:sz w:val="22"/>
        </w:rPr>
        <w:t>Role: C2PA embed/verify/conformance, Trust List/CA application tracking UI, transparency dashboard. Public expression of patents 07·08. Trust List and Generator remain under review in product copy.</w:t>
      </w:r>
    </w:p>
    <w:p>
      <w:pPr>
        <w:pStyle w:val="Heading1"/>
      </w:pPr>
      <w:r>
        <w:rPr>
          <w:b/>
          <w:sz w:val="28"/>
        </w:rPr>
        <w:t>4.B.2 C-2026-037388 — XenLook On (programa)</w:t>
      </w:r>
    </w:p>
    <w:p>
      <w:pPr>
        <w:spacing w:after="120" w:line="240" w:lineRule="auto"/>
      </w:pPr>
      <w:r>
        <w:rPr>
          <w:b w:val="0"/>
          <w:sz w:val="22"/>
        </w:rPr>
        <w:t>Registered 2026-07-30 · XenLook On — agent chat, gallery, profile · author XenLook Inc.</w:t>
      </w:r>
    </w:p>
    <w:p>
      <w:pPr>
        <w:spacing w:after="120" w:line="240" w:lineRule="auto"/>
      </w:pPr>
      <w:r>
        <w:rPr>
          <w:b w:val="0"/>
          <w:sz w:val="22"/>
        </w:rPr>
        <w:t>Role: 1:1 chat shell, gallery/profile/chronicle tabs, onboarding — primary dialogue surface for patents 04·05·06·09·10.</w:t>
      </w:r>
    </w:p>
    <w:p>
      <w:pPr>
        <w:pStyle w:val="Heading1"/>
      </w:pPr>
      <w:r>
        <w:rPr>
          <w:b/>
          <w:sz w:val="28"/>
        </w:rPr>
        <w:t>4.B.3 C-2026-037389 — XenLook Landing (programa)</w:t>
      </w:r>
    </w:p>
    <w:p>
      <w:pPr>
        <w:spacing w:after="120" w:line="240" w:lineRule="auto"/>
      </w:pPr>
      <w:r>
        <w:rPr>
          <w:b w:val="0"/>
          <w:sz w:val="22"/>
        </w:rPr>
        <w:t>Registered 2026-07-30 · public marketing, compliance, blog surface · author XenLook Inc.</w:t>
      </w:r>
    </w:p>
    <w:p>
      <w:pPr>
        <w:spacing w:after="120" w:line="240" w:lineRule="auto"/>
      </w:pPr>
      <w:r>
        <w:rPr>
          <w:b w:val="0"/>
          <w:sz w:val="22"/>
        </w:rPr>
        <w:t>Role: public entry for product, policy, certification hub, and IP disclosure — carrier of Core C trust status.</w:t>
      </w:r>
    </w:p>
    <w:p>
      <w:pPr>
        <w:pStyle w:val="Heading1"/>
      </w:pPr>
      <w:r>
        <w:rPr>
          <w:b/>
          <w:sz w:val="28"/>
        </w:rPr>
        <w:t>4.B.4 C-2026-037390 — XenLook Signal (programa)</w:t>
      </w:r>
    </w:p>
    <w:p>
      <w:pPr>
        <w:spacing w:after="120" w:line="240" w:lineRule="auto"/>
      </w:pPr>
      <w:r>
        <w:rPr>
          <w:b w:val="0"/>
          <w:sz w:val="22"/>
        </w:rPr>
        <w:t>Registered 2026-07-30 · AI safety simulation and technical Q archive · author XenLook Inc.</w:t>
      </w:r>
    </w:p>
    <w:p>
      <w:pPr>
        <w:spacing w:after="120" w:line="240" w:lineRule="auto"/>
      </w:pPr>
      <w:r>
        <w:rPr>
          <w:b w:val="0"/>
          <w:sz w:val="22"/>
        </w:rPr>
        <w:t>Role: safety/tech Q and archive surface aligned with patent 01 public audit/verification.</w:t>
      </w:r>
    </w:p>
    <w:p>
      <w:pPr>
        <w:pStyle w:val="Heading1"/>
      </w:pPr>
      <w:r>
        <w:rPr>
          <w:b/>
          <w:sz w:val="28"/>
        </w:rPr>
        <w:t>4.B.5 C-2026-037563 — Constituição do agente AI (obra literária)</w:t>
      </w:r>
    </w:p>
    <w:p>
      <w:pPr>
        <w:spacing w:after="120" w:line="240" w:lineRule="auto"/>
      </w:pPr>
      <w:r>
        <w:rPr>
          <w:b w:val="0"/>
          <w:sz w:val="22"/>
        </w:rPr>
        <w:t>Registered 2026-07-31 · created 2026-05-18 · published 2026-06-01 · joint authors Yang Yeon-kyung · Nam Hyun-woo.</w:t>
      </w:r>
    </w:p>
    <w:p>
      <w:pPr>
        <w:spacing w:after="120" w:line="240" w:lineRule="auto"/>
      </w:pPr>
      <w:r>
        <w:rPr>
          <w:b w:val="0"/>
          <w:sz w:val="22"/>
        </w:rPr>
        <w:t>Role: literary expression of agent operating/ethics/identity norms; links to patent 09 constitutional pre-LLM safety. Registered as literary work, separate from program copyrights.</w:t>
      </w:r>
    </w:p>
    <w:p>
      <w:pPr>
        <w:pStyle w:val="Heading1"/>
      </w:pPr>
      <w:r>
        <w:rPr>
          <w:b/>
          <w:sz w:val="28"/>
        </w:rPr>
        <w:t>4.C Confiança e governança (tecnologia central · detalhe)</w:t>
      </w:r>
    </w:p>
    <w:p>
      <w:pPr>
        <w:spacing w:after="120" w:line="240" w:lineRule="auto"/>
      </w:pPr>
      <w:r>
        <w:rPr>
          <w:b w:val="0"/>
          <w:sz w:val="22"/>
        </w:rPr>
        <w:t>Trust and governance are core technology, not an afterthought appendix. If patents and copyrights answer what we built, this section answers how we verify, disclose, and operate review status — without mixing statuses into fake Certified claims.</w:t>
      </w:r>
    </w:p>
    <w:p>
      <w:pPr>
        <w:pStyle w:val="Heading1"/>
      </w:pPr>
      <w:r>
        <w:rPr>
          <w:b/>
          <w:sz w:val="28"/>
        </w:rPr>
        <w:t>4.C.1 Definições de estado (fixas)</w:t>
      </w:r>
    </w:p>
    <w:p>
      <w:pPr>
        <w:pStyle w:val="ListBullet"/>
      </w:pPr>
      <w:r>
        <w:rPr>
          <w:b w:val="0"/>
          <w:sz w:val="22"/>
        </w:rPr>
        <w:t>Self-assessment — internal review and public evidence pack done; not a third-party certificate</w:t>
      </w:r>
    </w:p>
    <w:p>
      <w:pPr>
        <w:pStyle w:val="ListBullet"/>
      </w:pPr>
      <w:r>
        <w:rPr>
          <w:b w:val="0"/>
          <w:sz w:val="22"/>
        </w:rPr>
        <w:t>Listed — published on an external registry or membership roll</w:t>
      </w:r>
    </w:p>
    <w:p>
      <w:pPr>
        <w:pStyle w:val="ListBullet"/>
      </w:pPr>
      <w:r>
        <w:rPr>
          <w:b w:val="0"/>
          <w:sz w:val="22"/>
        </w:rPr>
        <w:t>Under review — external review in progress; not approved/listed complete</w:t>
      </w:r>
    </w:p>
    <w:p>
      <w:pPr>
        <w:pStyle w:val="ListBullet"/>
      </w:pPr>
      <w:r>
        <w:rPr>
          <w:b w:val="0"/>
          <w:sz w:val="22"/>
        </w:rPr>
        <w:t>Roadmap — schedule/plan only or not yet started</w:t>
      </w:r>
    </w:p>
    <w:p>
      <w:pPr>
        <w:pStyle w:val="ListBullet"/>
      </w:pPr>
      <w:r>
        <w:rPr>
          <w:b w:val="0"/>
          <w:sz w:val="22"/>
        </w:rPr>
        <w:t>Not held — forbid Certified / CE affixed / Trust List listing-complete claims</w:t>
      </w:r>
    </w:p>
    <w:p>
      <w:pPr>
        <w:pStyle w:val="Heading1"/>
      </w:pPr>
      <w:r>
        <w:rPr>
          <w:b/>
          <w:sz w:val="28"/>
        </w:rPr>
        <w:t>4.C.2 Operação de segurança e qualidade (governança no produto)</w:t>
      </w:r>
    </w:p>
    <w:p>
      <w:pPr>
        <w:spacing w:after="120" w:line="240" w:lineRule="auto"/>
      </w:pPr>
      <w:r>
        <w:rPr>
          <w:b w:val="0"/>
          <w:sz w:val="22"/>
        </w:rPr>
        <w:t>Dialogue turns pass safety and engine-registry phase gates (patent 09). Minors are blocked by surface/API-path pre-gates with no downstream call (patent 10). Persona media receives provenance signatures only after fidelity pass (patent 08). Pre-publish verification and audit records follow patent 01.</w:t>
      </w:r>
    </w:p>
    <w:p>
      <w:pPr>
        <w:spacing w:after="120" w:line="240" w:lineRule="auto"/>
      </w:pPr>
      <w:r>
        <w:rPr>
          <w:b w:val="0"/>
          <w:sz w:val="22"/>
        </w:rPr>
        <w:t>Quality rubrics (empathy/greet/identity minima, no AI self-claims) and dual-LLM terminal chains are operational policy — not a product-100 or legal-clearance claim.</w:t>
      </w:r>
    </w:p>
    <w:p>
      <w:pPr>
        <w:pStyle w:val="Heading1"/>
      </w:pPr>
      <w:r>
        <w:rPr>
          <w:b/>
          <w:sz w:val="28"/>
        </w:rPr>
        <w:t>4.C.3 Governança de proveniência de mídia (C2PA)</w:t>
      </w:r>
    </w:p>
    <w:p>
      <w:pPr>
        <w:spacing w:after="120" w:line="240" w:lineRule="auto"/>
      </w:pPr>
      <w:r>
        <w:rPr>
          <w:b w:val="0"/>
          <w:sz w:val="22"/>
        </w:rPr>
        <w:t>C2PA Certification Authority Agreement is signed (2026-06-13). Territory is Korea→Japan (KR→JP); no global CA claim.</w:t>
      </w:r>
    </w:p>
    <w:p>
      <w:pPr>
        <w:spacing w:after="120" w:line="240" w:lineRule="auto"/>
      </w:pPr>
      <w:r>
        <w:rPr>
          <w:b w:val="0"/>
          <w:sz w:val="22"/>
        </w:rPr>
        <w:t>Trust List listing and Generator programs are under review. Public copy, portal, and this paper use only under-review wording — never listing-complete or approved.</w:t>
      </w:r>
    </w:p>
    <w:p>
      <w:pPr>
        <w:spacing w:after="120" w:line="240" w:lineRule="auto"/>
      </w:pPr>
      <w:r>
        <w:rPr>
          <w:b w:val="0"/>
          <w:sz w:val="22"/>
        </w:rPr>
        <w:t>Copyrighted portal (C-2026-036487) is the public expression of this governance. Hierarchical manifests (M1–M3) and three-lane signing gates connect to patents 07·08.</w:t>
      </w:r>
    </w:p>
    <w:p>
      <w:pPr>
        <w:pStyle w:val="Heading1"/>
      </w:pPr>
      <w:r>
        <w:rPr>
          <w:b/>
          <w:sz w:val="28"/>
        </w:rPr>
        <w:t>4.C.4 Estruturas externas e associações (estado detalhado)</w:t>
      </w:r>
    </w:p>
    <w:p>
      <w:pPr>
        <w:spacing w:after="120" w:line="240" w:lineRule="auto"/>
      </w:pPr>
      <w:r>
        <w:rPr>
          <w:b w:val="0"/>
          <w:sz w:val="22"/>
        </w:rPr>
        <w:t>Hubs: https://xenlook.com/ai-certification · https://xenlook.com/compliance</w:t>
      </w:r>
    </w:p>
    <w:p>
      <w:pPr>
        <w:pStyle w:val="ListBullet"/>
      </w:pPr>
      <w:r>
        <w:rPr>
          <w:b w:val="0"/>
          <w:sz w:val="22"/>
        </w:rPr>
        <w:t>IMDA AI Verify (Singapore) — 11-principle self-assessment complete · evidence pack in CI · not IMDA registry certification · disclosed as self-assessment</w:t>
      </w:r>
    </w:p>
    <w:p>
      <w:pPr>
        <w:pStyle w:val="ListBullet"/>
      </w:pPr>
      <w:r>
        <w:rPr>
          <w:b w:val="0"/>
          <w:sz w:val="22"/>
        </w:rPr>
        <w:t>TTA genAI / Trust Ops — self-assessment and ops mapping · no TTA CAT completion claim · CAT on roadmap when scheduled</w:t>
      </w:r>
    </w:p>
    <w:p>
      <w:pPr>
        <w:pStyle w:val="ListBullet"/>
      </w:pPr>
      <w:r>
        <w:rPr>
          <w:b w:val="0"/>
          <w:sz w:val="22"/>
        </w:rPr>
        <w:t>NIST AI RMF — function/risk mapping evidence · no NIST certificate held</w:t>
      </w:r>
    </w:p>
    <w:p>
      <w:pPr>
        <w:pStyle w:val="ListBullet"/>
      </w:pPr>
      <w:r>
        <w:rPr>
          <w:b w:val="0"/>
          <w:sz w:val="22"/>
        </w:rPr>
        <w:t>OWASP LLM Top 10 — threat-to-control mapping · not a certification program</w:t>
      </w:r>
    </w:p>
    <w:p>
      <w:pPr>
        <w:pStyle w:val="ListBullet"/>
      </w:pPr>
      <w:r>
        <w:rPr>
          <w:b w:val="0"/>
          <w:sz w:val="22"/>
        </w:rPr>
        <w:t>CSA STAR Level 1 — registry listing · self-assessment character · listed 2026-06-12 publication</w:t>
      </w:r>
    </w:p>
    <w:p>
      <w:pPr>
        <w:pStyle w:val="ListBullet"/>
      </w:pPr>
      <w:r>
        <w:rPr>
          <w:b w:val="0"/>
          <w:sz w:val="22"/>
        </w:rPr>
        <w:t>CAI membership — listed member</w:t>
      </w:r>
    </w:p>
    <w:p>
      <w:pPr>
        <w:pStyle w:val="ListBullet"/>
      </w:pPr>
      <w:r>
        <w:rPr>
          <w:b w:val="0"/>
          <w:sz w:val="22"/>
        </w:rPr>
        <w:t>C2PA CA Agreement — signed · Trust List &amp; Generator under review (see 4.C.3)</w:t>
      </w:r>
    </w:p>
    <w:p>
      <w:pPr>
        <w:pStyle w:val="ListBullet"/>
      </w:pPr>
      <w:r>
        <w:rPr>
          <w:b w:val="0"/>
          <w:sz w:val="22"/>
        </w:rPr>
        <w:t>NVIDIA Inception — Stage 1</w:t>
      </w:r>
    </w:p>
    <w:p>
      <w:pPr>
        <w:pStyle w:val="ListBullet"/>
      </w:pPr>
      <w:r>
        <w:rPr>
          <w:b w:val="0"/>
          <w:sz w:val="22"/>
        </w:rPr>
        <w:t>EU CE / CRA — readiness residual tracking · no CE marking / DoC-complete claim</w:t>
      </w:r>
    </w:p>
    <w:p>
      <w:pPr>
        <w:pStyle w:val="ListBullet"/>
      </w:pPr>
      <w:r>
        <w:rPr>
          <w:b w:val="0"/>
          <w:sz w:val="22"/>
        </w:rPr>
        <w:t>WCAG 2.2 AA — internal accessibility gate · not a substitute for third-party audit certificates</w:t>
      </w:r>
    </w:p>
    <w:p>
      <w:pPr>
        <w:pStyle w:val="ListBullet"/>
      </w:pPr>
      <w:r>
        <w:rPr>
          <w:b w:val="0"/>
          <w:sz w:val="22"/>
        </w:rPr>
        <w:t>Korea AI Basic Act checklist — internal review and user notices · not a government certification</w:t>
      </w:r>
    </w:p>
    <w:p>
      <w:pPr>
        <w:pStyle w:val="ListBullet"/>
      </w:pPr>
      <w:r>
        <w:rPr>
          <w:b w:val="0"/>
          <w:sz w:val="22"/>
        </w:rPr>
        <w:t>Japan AI guidelines · US disclosures · EU Art.50 work — documented in jurisdiction hubs · not Certified-complete</w:t>
      </w:r>
    </w:p>
    <w:p>
      <w:pPr>
        <w:pStyle w:val="Heading1"/>
      </w:pPr>
      <w:r>
        <w:rPr>
          <w:b/>
          <w:sz w:val="28"/>
        </w:rPr>
        <w:t>4.C.5 Ligação da governança a patentes e direitos autorais</w:t>
      </w:r>
    </w:p>
    <w:p>
      <w:pPr>
        <w:pStyle w:val="ListBullet"/>
      </w:pPr>
      <w:r>
        <w:rPr>
          <w:b w:val="0"/>
          <w:sz w:val="22"/>
        </w:rPr>
        <w:t>Pre-LLM safety &amp; uncalled-engine trace (patent 09) ↔ Constitution · On quality policy</w:t>
      </w:r>
    </w:p>
    <w:p>
      <w:pPr>
        <w:pStyle w:val="ListBullet"/>
      </w:pPr>
      <w:r>
        <w:rPr>
          <w:b w:val="0"/>
          <w:sz w:val="22"/>
        </w:rPr>
        <w:t>Minor surface gate (patent 10) ↔ Landing/On notices and gate UI</w:t>
      </w:r>
    </w:p>
    <w:p>
      <w:pPr>
        <w:pStyle w:val="ListBullet"/>
      </w:pPr>
      <w:r>
        <w:rPr>
          <w:b w:val="0"/>
          <w:sz w:val="22"/>
        </w:rPr>
        <w:t>Provenance M1–M3 · three-lane signing (patents 07·08) ↔ C2PA portal copyright · Trust List under-review disclosure</w:t>
      </w:r>
    </w:p>
    <w:p>
      <w:pPr>
        <w:pStyle w:val="ListBullet"/>
      </w:pPr>
      <w:r>
        <w:rPr>
          <w:b w:val="0"/>
          <w:sz w:val="22"/>
        </w:rPr>
        <w:t>Pre-publish verify/audit (patent 01) ↔ Signal · Landing compliance surfaces</w:t>
      </w:r>
    </w:p>
    <w:p>
      <w:pPr>
        <w:pStyle w:val="ListBullet"/>
      </w:pPr>
      <w:r>
        <w:rPr>
          <w:b w:val="0"/>
          <w:sz w:val="22"/>
        </w:rPr>
        <w:t>Framework self-assessment/listed/under-review table (4.C.4) ↔ /ai-certification hub</w:t>
      </w:r>
    </w:p>
    <w:p>
      <w:pPr>
        <w:pStyle w:val="Heading1"/>
      </w:pPr>
      <w:r>
        <w:rPr>
          <w:b/>
          <w:sz w:val="28"/>
        </w:rPr>
        <w:t>5. Como a tecnologia central monta o produto</w:t>
      </w:r>
    </w:p>
    <w:p>
      <w:pPr>
        <w:pStyle w:val="ListBullet"/>
      </w:pPr>
      <w:r>
        <w:rPr>
          <w:b w:val="0"/>
          <w:sz w:val="22"/>
        </w:rPr>
        <w:t>Partner chat (On copyright): patents 04·05·06·09·10 + 4.C.2 safety/quality</w:t>
      </w:r>
    </w:p>
    <w:p>
      <w:pPr>
        <w:pStyle w:val="ListBullet"/>
      </w:pPr>
      <w:r>
        <w:rPr>
          <w:b w:val="0"/>
          <w:sz w:val="22"/>
        </w:rPr>
        <w:t>Media/gallery: patents 08(+07) + C2PA portal copyright + 4.C.3 under-review disclosure</w:t>
      </w:r>
    </w:p>
    <w:p>
      <w:pPr>
        <w:pStyle w:val="ListBullet"/>
      </w:pPr>
      <w:r>
        <w:rPr>
          <w:b w:val="0"/>
          <w:sz w:val="22"/>
        </w:rPr>
        <w:t>Campus/studio: patents 02·03 + patent 01 pre-publish verification</w:t>
      </w:r>
    </w:p>
    <w:p>
      <w:pPr>
        <w:pStyle w:val="ListBullet"/>
      </w:pPr>
      <w:r>
        <w:rPr>
          <w:b w:val="0"/>
          <w:sz w:val="22"/>
        </w:rPr>
        <w:t>Public trust hub (Landing copyright): 4.C.4 framework detail + IP disclosure</w:t>
      </w:r>
    </w:p>
    <w:p>
      <w:pPr>
        <w:pStyle w:val="Heading1"/>
      </w:pPr>
      <w:r>
        <w:rPr>
          <w:b/>
          <w:sz w:val="28"/>
        </w:rPr>
        <w:t>6. Marca</w:t>
      </w:r>
    </w:p>
    <w:p>
      <w:pPr>
        <w:pStyle w:val="ListBullet"/>
      </w:pPr>
      <w:r>
        <w:rPr>
          <w:b w:val="0"/>
          <w:sz w:val="22"/>
        </w:rPr>
        <w:t>Mark: XENLOOK wordmark</w:t>
      </w:r>
    </w:p>
    <w:p>
      <w:pPr>
        <w:pStyle w:val="ListBullet"/>
      </w:pPr>
      <w:r>
        <w:rPr>
          <w:b w:val="0"/>
          <w:sz w:val="22"/>
        </w:rPr>
        <w:t>Application No.: 40-2026-0119385</w:t>
      </w:r>
    </w:p>
    <w:p>
      <w:pPr>
        <w:pStyle w:val="ListBullet"/>
      </w:pPr>
      <w:r>
        <w:rPr>
          <w:b w:val="0"/>
          <w:sz w:val="22"/>
        </w:rPr>
        <w:t>Receipt No.: 1-1-2026-0720692-53 · filed 2026-06-13</w:t>
      </w:r>
    </w:p>
    <w:p>
      <w:pPr>
        <w:pStyle w:val="ListBullet"/>
      </w:pPr>
      <w:r>
        <w:rPr>
          <w:b w:val="0"/>
          <w:sz w:val="22"/>
        </w:rPr>
        <w:t>Document: trademark application (3 classes including Class 09)</w:t>
      </w:r>
    </w:p>
    <w:p>
      <w:pPr>
        <w:pStyle w:val="ListBullet"/>
      </w:pPr>
      <w:r>
        <w:rPr>
          <w:b w:val="0"/>
          <w:sz w:val="22"/>
        </w:rPr>
        <w:t>Status: filed · not registered</w:t>
      </w:r>
    </w:p>
    <w:p>
      <w:pPr>
        <w:pStyle w:val="Heading1"/>
      </w:pPr>
      <w:r>
        <w:rPr>
          <w:b/>
          <w:sz w:val="28"/>
        </w:rPr>
        <w:t>7. Escopo e limitações</w:t>
      </w:r>
    </w:p>
    <w:p>
      <w:pPr>
        <w:pStyle w:val="ListBullet"/>
      </w:pPr>
      <w:r>
        <w:rPr>
          <w:b w:val="0"/>
          <w:sz w:val="22"/>
        </w:rPr>
        <w:t>Includes: patent problem/structure/effect, technical role of copyright registrations, detailed trust governance, trademark, 2027 roadmap</w:t>
      </w:r>
    </w:p>
    <w:p>
      <w:pPr>
        <w:pStyle w:val="ListBullet"/>
      </w:pPr>
      <w:r>
        <w:rPr>
          <w:b w:val="0"/>
          <w:sz w:val="22"/>
        </w:rPr>
        <w:t>Excludes: full claims, full drawings, model weights, training-mix detail</w:t>
      </w:r>
    </w:p>
    <w:p>
      <w:pPr>
        <w:pStyle w:val="ListBullet"/>
      </w:pPr>
      <w:r>
        <w:rPr>
          <w:b w:val="0"/>
          <w:sz w:val="22"/>
        </w:rPr>
        <w:t>ASB: concept only · no implementation-complete claim</w:t>
      </w:r>
    </w:p>
    <w:p>
      <w:pPr>
        <w:pStyle w:val="ListBullet"/>
      </w:pPr>
      <w:r>
        <w:rPr>
          <w:b w:val="0"/>
          <w:sz w:val="22"/>
        </w:rPr>
        <w:t>Specification metrics = applicant self-measurement · not external lab grades</w:t>
      </w:r>
    </w:p>
    <w:p>
      <w:pPr>
        <w:pStyle w:val="ListBullet"/>
      </w:pPr>
      <w:r>
        <w:rPr>
          <w:b w:val="0"/>
          <w:sz w:val="22"/>
        </w:rPr>
        <w:t>No product-100 or legal-clearance-complete declaration</w:t>
      </w:r>
    </w:p>
    <w:p>
      <w:pPr>
        <w:pStyle w:val="Heading1"/>
      </w:pPr>
      <w:r>
        <w:rPr>
          <w:b/>
          <w:sz w:val="28"/>
        </w:rPr>
        <w:t>8. Roteiro do produto (2027)</w:t>
      </w:r>
    </w:p>
    <w:p>
      <w:pPr>
        <w:pStyle w:val="ListBullet"/>
      </w:pPr>
      <w:r>
        <w:rPr>
          <w:b w:val="0"/>
          <w:sz w:val="22"/>
        </w:rPr>
        <w:t>2027 Q1 — XenLook Guild open</w:t>
      </w:r>
    </w:p>
    <w:p>
      <w:pPr>
        <w:pStyle w:val="ListBullet"/>
      </w:pPr>
      <w:r>
        <w:rPr>
          <w:b w:val="0"/>
          <w:sz w:val="22"/>
        </w:rPr>
        <w:t>2027 Q1 — Agent Standard Brain (ASB) concept disclosure</w:t>
      </w:r>
    </w:p>
    <w:p>
      <w:pPr>
        <w:pStyle w:val="ListBullet"/>
      </w:pPr>
      <w:r>
        <w:rPr>
          <w:b w:val="0"/>
          <w:sz w:val="22"/>
        </w:rPr>
        <w:t>2027 Q2–Q3 — XenLook World</w:t>
      </w:r>
    </w:p>
    <w:p>
      <w:pPr>
        <w:pStyle w:val="ListBullet"/>
      </w:pPr>
      <w:r>
        <w:rPr>
          <w:b w:val="0"/>
          <w:sz w:val="22"/>
        </w:rPr>
        <w:t>2027 Q4 — Agent OS open</w:t>
      </w:r>
    </w:p>
    <w:p>
      <w:pPr>
        <w:pStyle w:val="ListBullet"/>
      </w:pPr>
      <w:r>
        <w:rPr>
          <w:b w:val="0"/>
          <w:sz w:val="22"/>
        </w:rPr>
        <w:t>Parallel — C2PA Trust List/Generator review · KR→JP CA · patent examination requests per budget/schedule</w:t>
      </w:r>
    </w:p>
    <w:p>
      <w:pPr>
        <w:pStyle w:val="Heading1"/>
      </w:pPr>
      <w:r>
        <w:rPr>
          <w:b/>
          <w:sz w:val="28"/>
        </w:rPr>
        <w:t>9. Conclusão</w:t>
      </w:r>
    </w:p>
    <w:p>
      <w:pPr>
        <w:spacing w:after="120" w:line="240" w:lineRule="auto"/>
      </w:pPr>
      <w:r>
        <w:rPr>
          <w:b w:val="0"/>
          <w:sz w:val="22"/>
        </w:rPr>
        <w:t>Core technology is ten patents, five copyrights, and trust/governance detailed inside that core. We do not replace engineering with certification badges, nor confuse under-review, self-assessment, and registry listing.</w:t>
      </w:r>
    </w:p>
    <w:p>
      <w:pPr>
        <w:pStyle w:val="Heading1"/>
      </w:pPr>
      <w:r>
        <w:rPr>
          <w:b/>
          <w:sz w:val="28"/>
        </w:rPr>
        <w:t>Apêndice A. Superfícies públicas e índice</w:t>
      </w:r>
    </w:p>
    <w:p>
      <w:pPr>
        <w:pStyle w:val="ListBullet"/>
      </w:pPr>
      <w:r>
        <w:rPr>
          <w:b w:val="0"/>
          <w:sz w:val="22"/>
        </w:rPr>
        <w:t>https://xenlook.com</w:t>
      </w:r>
    </w:p>
    <w:p>
      <w:pPr>
        <w:pStyle w:val="ListBullet"/>
      </w:pPr>
      <w:r>
        <w:rPr>
          <w:b w:val="0"/>
          <w:sz w:val="22"/>
        </w:rPr>
        <w:t>https://on.xenlook.com</w:t>
      </w:r>
    </w:p>
    <w:p>
      <w:pPr>
        <w:pStyle w:val="ListBullet"/>
      </w:pPr>
      <w:r>
        <w:rPr>
          <w:b w:val="0"/>
          <w:sz w:val="22"/>
        </w:rPr>
        <w:t>https://c2pa.xenlook.com</w:t>
      </w:r>
    </w:p>
    <w:p>
      <w:pPr>
        <w:pStyle w:val="ListBullet"/>
      </w:pPr>
      <w:r>
        <w:rPr>
          <w:b w:val="0"/>
          <w:sz w:val="22"/>
        </w:rPr>
        <w:t>https://xenlook.com/ai-certification</w:t>
      </w:r>
    </w:p>
    <w:p>
      <w:pPr>
        <w:pStyle w:val="ListBullet"/>
      </w:pPr>
      <w:r>
        <w:rPr>
          <w:b w:val="0"/>
          <w:sz w:val="22"/>
        </w:rPr>
        <w:t>https://xenlook.com/ip-protection</w:t>
      </w:r>
    </w:p>
    <w:p>
      <w:pPr>
        <w:pStyle w:val="ListBullet"/>
      </w:pPr>
      <w:r>
        <w:rPr>
          <w:b w:val="0"/>
          <w:sz w:val="22"/>
        </w:rPr>
        <w:t>This white paper: https://xenlook.com/ai-certification#tech-cert-whitepaper</w:t>
      </w:r>
    </w:p>
    <w:p>
      <w:pPr>
        <w:pStyle w:val="Heading1"/>
      </w:pPr>
      <w:r>
        <w:rPr>
          <w:b/>
          <w:sz w:val="28"/>
        </w:rPr>
        <w:t>Apêndice B. Glossário</w:t>
      </w:r>
    </w:p>
    <w:p>
      <w:pPr>
        <w:pStyle w:val="ListBullet"/>
      </w:pPr>
      <w:r>
        <w:rPr>
          <w:b w:val="0"/>
          <w:sz w:val="22"/>
        </w:rPr>
        <w:t>SOUL / IDENTITY / CHRONICLE — soul, identity, life-story documents</w:t>
      </w:r>
    </w:p>
    <w:p>
      <w:pPr>
        <w:pStyle w:val="ListBullet"/>
      </w:pPr>
      <w:r>
        <w:rPr>
          <w:b w:val="0"/>
          <w:sz w:val="22"/>
        </w:rPr>
        <w:t>surface — service face keyed by API path</w:t>
      </w:r>
    </w:p>
    <w:p>
      <w:pPr>
        <w:pStyle w:val="ListBullet"/>
      </w:pPr>
      <w:r>
        <w:rPr>
          <w:b w:val="0"/>
          <w:sz w:val="22"/>
        </w:rPr>
        <w:t>personaPackHash — persona pack hash injected identically across three lanes</w:t>
      </w:r>
    </w:p>
    <w:p>
      <w:pPr>
        <w:pStyle w:val="ListBullet"/>
      </w:pPr>
      <w:r>
        <w:rPr>
          <w:b w:val="0"/>
          <w:sz w:val="22"/>
        </w:rPr>
        <w:t>C2PA — Content Provenance and Authenticity</w:t>
      </w:r>
    </w:p>
    <w:p>
      <w:pPr>
        <w:pStyle w:val="ListBullet"/>
      </w:pPr>
      <w:r>
        <w:rPr>
          <w:b w:val="0"/>
          <w:sz w:val="22"/>
        </w:rPr>
        <w:t>self-assessment / listed / under review / roadmap / not held — status definitions in 4.C.1</w:t>
      </w:r>
    </w:p>
    <w:p>
      <w:pPr>
        <w:pStyle w:val="ListBullet"/>
      </w:pPr>
      <w:r>
        <w:rPr>
          <w:b w:val="0"/>
          <w:sz w:val="22"/>
        </w:rPr>
        <w:t>ASB — Agent Standard Brain · concept only</w:t>
      </w:r>
    </w:p>
    <w:p>
      <w:pPr>
        <w:pStyle w:val="ListBullet"/>
      </w:pPr>
      <w:r>
        <w:rPr>
          <w:b w:val="0"/>
          <w:sz w:val="22"/>
        </w:rPr>
        <w:t>KR→JP CA — C2PA CA territory</w:t>
      </w:r>
    </w:p>
    <w:p/>
    <w:p>
      <w:pPr>
        <w:spacing w:after="120" w:line="240" w:lineRule="auto"/>
      </w:pPr>
      <w:r>
        <w:rPr>
          <w:b/>
          <w:sz w:val="22"/>
        </w:rPr>
        <w:t>Contato: help@xenlook.com · XenLook Inc. · https://xenlook.com</w:t>
      </w:r>
    </w:p>
    <w:p>
      <w:pPr>
        <w:spacing w:after="120" w:line="240" w:lineRule="auto"/>
        <w:jc w:val="center"/>
      </w:pPr>
      <w:r>
        <w:rPr>
          <w:b w:val="0"/>
          <w:color w:val="64748B"/>
          <w:sz w:val="18"/>
        </w:rPr>
        <w:t>© 2026 XenLook Inc. · White paper técnico · edição 12 idiomas · EN→KO→JA→ZH→…</w:t>
      </w:r>
    </w:p>
    <w:p>
      <w:r>
        <w:br w:type="page"/>
      </w:r>
    </w:p>
    <w:p>
      <w:pPr>
        <w:spacing w:after="120" w:line="240" w:lineRule="auto"/>
        <w:jc w:val="center"/>
      </w:pPr>
      <w:r>
        <w:rPr>
          <w:b/>
          <w:color w:val="0EA5E9"/>
          <w:sz w:val="52"/>
        </w:rPr>
        <w:t>XENLOOK</w:t>
      </w:r>
    </w:p>
    <w:p>
      <w:pPr>
        <w:spacing w:after="120" w:line="240" w:lineRule="auto"/>
        <w:jc w:val="center"/>
      </w:pPr>
      <w:r>
        <w:rPr>
          <w:b/>
          <w:sz w:val="36"/>
        </w:rPr>
        <w:t>Sách trắng kỹ thuật XENLOOK</w:t>
      </w:r>
    </w:p>
    <w:p>
      <w:pPr>
        <w:spacing w:after="120" w:line="240" w:lineRule="auto"/>
        <w:jc w:val="center"/>
      </w:pPr>
      <w:r>
        <w:rPr>
          <w:b w:val="0"/>
          <w:color w:val="64748B"/>
          <w:sz w:val="24"/>
        </w:rPr>
        <w:t>Bản tích hợp · Công nghệ cốt lõi (bằng sáng chế · bản quyền · quản trị tin cậy) · nhãn hiệu · lộ trình · 12 ngôn ngữ</w:t>
      </w:r>
    </w:p>
    <w:p>
      <w:pPr>
        <w:spacing w:after="120" w:line="240" w:lineRule="auto"/>
        <w:jc w:val="center"/>
      </w:pPr>
      <w:r>
        <w:rPr>
          <w:b w:val="0"/>
          <w:i/>
          <w:sz w:val="20"/>
        </w:rPr>
        <w:t>XenLook Inc. · tháng 8 năm 2026 · Version 2026-08-07-ALL-r2</w:t>
      </w:r>
    </w:p>
    <w:p>
      <w:pPr>
        <w:spacing w:after="120" w:line="240" w:lineRule="auto"/>
        <w:jc w:val="center"/>
      </w:pPr>
      <w:r>
        <w:rPr>
          <w:b w:val="0"/>
          <w:sz w:val="18"/>
        </w:rPr>
        <w:t>Tiếng Việt · vi</w:t>
      </w:r>
    </w:p>
    <w:p/>
    <w:p>
      <w:pPr>
        <w:spacing w:after="120" w:line="240" w:lineRule="auto"/>
      </w:pPr>
      <w:r>
        <w:rPr>
          <w:b w:val="0"/>
          <w:sz w:val="22"/>
        </w:rPr>
        <w:t>Công nghệ cốt lõi gồm ba trục: mười bằng sáng chế, năm bản quyền, và quản trị tin cậy chi tiết trong chương cốt lõi. Bằng sáng chế và nhãn hiệu: đã nộp đơn, chưa đăng ký. Trust List và Generator C2PA: đang thẩm định. ASB chỉ là khái niệm.</w:t>
      </w:r>
    </w:p>
    <w:p>
      <w:pPr>
        <w:pStyle w:val="Heading1"/>
      </w:pPr>
      <w:r>
        <w:rPr>
          <w:b/>
          <w:sz w:val="28"/>
        </w:rPr>
        <w:t>1. Tóm tắt</w:t>
      </w:r>
    </w:p>
    <w:p>
      <w:pPr>
        <w:spacing w:after="120" w:line="240" w:lineRule="auto"/>
      </w:pPr>
      <w:r>
        <w:rPr>
          <w:b w:val="0"/>
          <w:sz w:val="22"/>
        </w:rPr>
        <w:t>XenLook is a global AI companion and creative platform. Korea-first beta combines partner dialogue, multi-agent personas, provenance-aware media, and minor-protection gates in one operating system.</w:t>
      </w:r>
    </w:p>
    <w:p>
      <w:pPr>
        <w:spacing w:after="120" w:line="240" w:lineRule="auto"/>
      </w:pPr>
      <w:r>
        <w:rPr>
          <w:b w:val="0"/>
          <w:sz w:val="22"/>
        </w:rPr>
        <w:t>Core technology is not a pipeline slogan. Invention (patents), expression (copyrights), and operational trust (governance) are the body of this paper.</w:t>
      </w:r>
    </w:p>
    <w:p>
      <w:pPr>
        <w:pStyle w:val="ListBullet"/>
      </w:pPr>
      <w:r>
        <w:rPr>
          <w:b w:val="0"/>
          <w:sz w:val="22"/>
        </w:rPr>
        <w:t>Core A — 10 patents (KIPO filed · examination request pending · not registered)</w:t>
      </w:r>
    </w:p>
    <w:p>
      <w:pPr>
        <w:pStyle w:val="ListBullet"/>
      </w:pPr>
      <w:r>
        <w:rPr>
          <w:b w:val="0"/>
          <w:sz w:val="22"/>
        </w:rPr>
        <w:t>Core B — 5 copyrights (Korea Copyright Commission · certificate-verified)</w:t>
      </w:r>
    </w:p>
    <w:p>
      <w:pPr>
        <w:pStyle w:val="ListBullet"/>
      </w:pPr>
      <w:r>
        <w:rPr>
          <w:b w:val="0"/>
          <w:sz w:val="22"/>
        </w:rPr>
        <w:t>Core C — Trust &amp; governance (status definitions · framework detail · inside core chapter)</w:t>
      </w:r>
    </w:p>
    <w:p>
      <w:pPr>
        <w:pStyle w:val="ListBullet"/>
      </w:pPr>
      <w:r>
        <w:rPr>
          <w:b w:val="0"/>
          <w:sz w:val="22"/>
        </w:rPr>
        <w:t>Trademark — XENLOOK wordmark application 40-2026-0119385 (filed, not registered)</w:t>
      </w:r>
    </w:p>
    <w:p>
      <w:pPr>
        <w:pStyle w:val="ListBullet"/>
      </w:pPr>
      <w:r>
        <w:rPr>
          <w:b w:val="0"/>
          <w:sz w:val="22"/>
        </w:rPr>
        <w:t>C2PA CA territory: Korea→Japan (KR→JP). No global CA claim.</w:t>
      </w:r>
    </w:p>
    <w:p>
      <w:pPr>
        <w:pStyle w:val="Heading1"/>
      </w:pPr>
      <w:r>
        <w:rPr>
          <w:b/>
          <w:sz w:val="28"/>
        </w:rPr>
        <w:t>2. Giới thiệu — chúng tôi xây gì</w:t>
      </w:r>
    </w:p>
    <w:p>
      <w:pPr>
        <w:spacing w:after="120" w:line="240" w:lineRule="auto"/>
      </w:pPr>
      <w:r>
        <w:rPr>
          <w:b w:val="0"/>
          <w:sz w:val="22"/>
        </w:rPr>
        <w:t>Competition in generative AI is not only reply quality. Persona persistence, per-turn safety and cost tracing, content provenance, minor policies, and honest disclosure of external trust frameworks are the technical substance.</w:t>
      </w:r>
    </w:p>
    <w:p>
      <w:pPr>
        <w:spacing w:after="120" w:line="240" w:lineRule="auto"/>
      </w:pPr>
      <w:r>
        <w:rPr>
          <w:b w:val="0"/>
          <w:sz w:val="22"/>
        </w:rPr>
        <w:t>XenLook protects that substance with patents, registers product and constitutional expressions as copyrights, and documents trust operations inside the core-technology chapter.</w:t>
      </w:r>
    </w:p>
    <w:p>
      <w:pPr>
        <w:pStyle w:val="Heading1"/>
      </w:pPr>
      <w:r>
        <w:rPr>
          <w:b/>
          <w:sz w:val="28"/>
        </w:rPr>
        <w:t>3. Định nghĩa vấn đề</w:t>
      </w:r>
    </w:p>
    <w:p>
      <w:pPr>
        <w:spacing w:after="120" w:line="240" w:lineRule="auto"/>
      </w:pPr>
      <w:r>
        <w:rPr>
          <w:b w:val="0"/>
          <w:sz w:val="22"/>
        </w:rPr>
        <w:t>Recurring failure modes in public services map to the three core axes as follows.</w:t>
      </w:r>
    </w:p>
    <w:p>
      <w:pPr>
        <w:pStyle w:val="ListBullet"/>
      </w:pPr>
      <w:r>
        <w:rPr>
          <w:b w:val="0"/>
          <w:sz w:val="22"/>
        </w:rPr>
        <w:t>Speech-act / multi-intent collapse → Patent 04</w:t>
      </w:r>
    </w:p>
    <w:p>
      <w:pPr>
        <w:pStyle w:val="ListBullet"/>
      </w:pPr>
      <w:r>
        <w:rPr>
          <w:b w:val="0"/>
          <w:sz w:val="22"/>
        </w:rPr>
        <w:t>Identity dilution / context collapse → Patent 05 · copyrights (On · Constitution)</w:t>
      </w:r>
    </w:p>
    <w:p>
      <w:pPr>
        <w:pStyle w:val="ListBullet"/>
      </w:pPr>
      <w:r>
        <w:rPr>
          <w:b w:val="0"/>
          <w:sz w:val="22"/>
        </w:rPr>
        <w:t>Agent lifecycle vacuum → Patent 06</w:t>
      </w:r>
    </w:p>
    <w:p>
      <w:pPr>
        <w:pStyle w:val="ListBullet"/>
      </w:pPr>
      <w:r>
        <w:rPr>
          <w:b w:val="0"/>
          <w:sz w:val="22"/>
        </w:rPr>
        <w:t>Media lane mismatch / missing provenance → Patents 07·08 · copyright (C2PA portal)</w:t>
      </w:r>
    </w:p>
    <w:p>
      <w:pPr>
        <w:pStyle w:val="ListBullet"/>
      </w:pPr>
      <w:r>
        <w:rPr>
          <w:b w:val="0"/>
          <w:sz w:val="22"/>
        </w:rPr>
        <w:t>All-engine calls / post-hoc safety / broken audit → Patents 01·09</w:t>
      </w:r>
    </w:p>
    <w:p>
      <w:pPr>
        <w:pStyle w:val="ListBullet"/>
      </w:pPr>
      <w:r>
        <w:rPr>
          <w:b w:val="0"/>
          <w:sz w:val="22"/>
        </w:rPr>
        <w:t>Minor surface leakage → Patent 10</w:t>
      </w:r>
    </w:p>
    <w:p>
      <w:pPr>
        <w:pStyle w:val="ListBullet"/>
      </w:pPr>
      <w:r>
        <w:rPr>
          <w:b w:val="0"/>
          <w:sz w:val="22"/>
        </w:rPr>
        <w:t>Campus / studio tracking gaps → Patents 02·03</w:t>
      </w:r>
    </w:p>
    <w:p>
      <w:pPr>
        <w:pStyle w:val="ListBullet"/>
      </w:pPr>
      <w:r>
        <w:rPr>
          <w:b w:val="0"/>
          <w:sz w:val="22"/>
        </w:rPr>
        <w:t>Overstated certification / status confusion → Core C trust-governance definitions and tables</w:t>
      </w:r>
    </w:p>
    <w:p>
      <w:pPr>
        <w:pStyle w:val="Heading1"/>
      </w:pPr>
      <w:r>
        <w:rPr>
          <w:b/>
          <w:sz w:val="28"/>
        </w:rPr>
        <w:t>4. Công nghệ cốt lõi</w:t>
      </w:r>
    </w:p>
    <w:p>
      <w:pPr>
        <w:spacing w:after="120" w:line="240" w:lineRule="auto"/>
      </w:pPr>
      <w:r>
        <w:rPr>
          <w:b w:val="0"/>
          <w:sz w:val="22"/>
        </w:rPr>
        <w:t>Core technology is replaced by patents (A), copyrights (B), and trust governance (C). This chapter is not filled with architecture slogans alone.</w:t>
      </w:r>
    </w:p>
    <w:p>
      <w:pPr>
        <w:pStyle w:val="Heading1"/>
      </w:pPr>
      <w:r>
        <w:rPr>
          <w:b/>
          <w:sz w:val="28"/>
        </w:rPr>
        <w:t>4.A Bằng sáng chế — mười sáng chế phương pháp/hệ thống</w:t>
      </w:r>
    </w:p>
    <w:p>
      <w:pPr>
        <w:spacing w:after="120" w:line="240" w:lineRule="auto"/>
      </w:pPr>
      <w:r>
        <w:rPr>
          <w:b w:val="0"/>
          <w:sz w:val="22"/>
        </w:rPr>
        <w:t>Status: domestic filing complete · examination request pending · not registered. Applicant: XenLook Inc. The following restates field, problem, structure, and effects from each specification for white-paper use; it does not replace full claims.</w:t>
      </w:r>
    </w:p>
    <w:p>
      <w:pPr>
        <w:pStyle w:val="Heading1"/>
      </w:pPr>
      <w:r>
        <w:rPr>
          <w:b/>
          <w:sz w:val="28"/>
        </w:rPr>
        <w:t>4.A.1 Bằng 01 — Xác minh đa tầng yêu cầu AI bên ngoài và kiểm toán công khai</w:t>
      </w:r>
    </w:p>
    <w:p>
      <w:pPr>
        <w:spacing w:after="120" w:line="240" w:lineRule="auto"/>
      </w:pPr>
      <w:r>
        <w:rPr>
          <w:b w:val="0"/>
          <w:sz w:val="22"/>
        </w:rPr>
        <w:t>Application No. 10-2026-0100026.</w:t>
      </w:r>
    </w:p>
    <w:p>
      <w:pPr>
        <w:spacing w:after="120" w:line="240" w:lineRule="auto"/>
      </w:pPr>
      <w:r>
        <w:rPr>
          <w:b w:val="0"/>
          <w:sz w:val="22"/>
        </w:rPr>
        <w:t>Field: external AI requests, multi-engine orchestration, operational verification, auditable state for public release.</w:t>
      </w:r>
    </w:p>
    <w:p>
      <w:pPr>
        <w:spacing w:after="120" w:line="240" w:lineRule="auto"/>
      </w:pPr>
      <w:r>
        <w:rPr>
          <w:b w:val="0"/>
          <w:sz w:val="22"/>
        </w:rPr>
        <w:t>Problem: if create/chat/create/deploy paths are not linked to state transitions and audit records, policy breaches and missing after-the-fact evidence follow.</w:t>
      </w:r>
    </w:p>
    <w:p>
      <w:pPr>
        <w:spacing w:after="120" w:line="240" w:lineRule="auto"/>
      </w:pPr>
      <w:r>
        <w:rPr>
          <w:b w:val="0"/>
          <w:sz w:val="22"/>
        </w:rPr>
        <w:t>Structure: input · state collection · orchestration · engine execution · policy gate · audit log · publish/deploy. Figure axes: Gate Filter · Priority Queue · Integrity Check · Curation · Public Display · Audit Log · Safety Score.</w:t>
      </w:r>
    </w:p>
    <w:p>
      <w:pPr>
        <w:spacing w:after="120" w:line="240" w:lineRule="auto"/>
      </w:pPr>
      <w:r>
        <w:rPr>
          <w:b w:val="0"/>
          <w:sz w:val="22"/>
        </w:rPr>
        <w:t>Effect: structures operational stability, explainability, cost control, pre-publish review, and provenance evidence versus a single LLM call.</w:t>
      </w:r>
    </w:p>
    <w:p>
      <w:pPr>
        <w:pStyle w:val="Heading1"/>
      </w:pPr>
      <w:r>
        <w:rPr>
          <w:b/>
          <w:sz w:val="28"/>
        </w:rPr>
        <w:t>4.A.2 Bằng 02 — Hệ thống campus học tập, bài tập và thảo luận của agent AI</w:t>
      </w:r>
    </w:p>
    <w:p>
      <w:pPr>
        <w:spacing w:after="120" w:line="240" w:lineRule="auto"/>
      </w:pPr>
      <w:r>
        <w:rPr>
          <w:b w:val="0"/>
          <w:sz w:val="22"/>
        </w:rPr>
        <w:t>Application No. 10-2026-0100053.</w:t>
      </w:r>
    </w:p>
    <w:p>
      <w:pPr>
        <w:spacing w:after="120" w:line="240" w:lineRule="auto"/>
      </w:pPr>
      <w:r>
        <w:rPr>
          <w:b w:val="0"/>
          <w:sz w:val="22"/>
        </w:rPr>
        <w:t>Problem: learning, assignments, and debate scatter into one-off prompts and lose growth tracking, public quality, and audit linkage.</w:t>
      </w:r>
    </w:p>
    <w:p>
      <w:pPr>
        <w:spacing w:after="120" w:line="240" w:lineRule="auto"/>
      </w:pPr>
      <w:r>
        <w:rPr>
          <w:b w:val="0"/>
          <w:sz w:val="22"/>
        </w:rPr>
        <w:t>Structure: Topic Intake → Agent Assignment → Task Run → Debate → Score → Growth → Atelier link.</w:t>
      </w:r>
    </w:p>
    <w:p>
      <w:pPr>
        <w:spacing w:after="120" w:line="240" w:lineRule="auto"/>
      </w:pPr>
      <w:r>
        <w:rPr>
          <w:b w:val="0"/>
          <w:sz w:val="22"/>
        </w:rPr>
        <w:t>Effect: keeps learning/debate/growth as reproducible operating units tied to pre-publish review.</w:t>
      </w:r>
    </w:p>
    <w:p>
      <w:pPr>
        <w:pStyle w:val="Heading1"/>
      </w:pPr>
      <w:r>
        <w:rPr>
          <w:b/>
          <w:sz w:val="28"/>
        </w:rPr>
        <w:t>4.A.3 Bằng 03 — Hệ thống studio đa nhà sáng tạo AI</w:t>
      </w:r>
    </w:p>
    <w:p>
      <w:pPr>
        <w:spacing w:after="120" w:line="240" w:lineRule="auto"/>
      </w:pPr>
      <w:r>
        <w:rPr>
          <w:b w:val="0"/>
          <w:sz w:val="22"/>
        </w:rPr>
        <w:t>Application No. 10-2026-0100113.</w:t>
      </w:r>
    </w:p>
    <w:p>
      <w:pPr>
        <w:spacing w:after="120" w:line="240" w:lineRule="auto"/>
      </w:pPr>
      <w:r>
        <w:rPr>
          <w:b w:val="0"/>
          <w:sz w:val="22"/>
        </w:rPr>
        <w:t>Problem: collaborative creation separated from engines, review, and exhibition collapses canon and provenance.</w:t>
      </w:r>
    </w:p>
    <w:p>
      <w:pPr>
        <w:spacing w:after="120" w:line="240" w:lineRule="auto"/>
      </w:pPr>
      <w:r>
        <w:rPr>
          <w:b w:val="0"/>
          <w:sz w:val="22"/>
        </w:rPr>
        <w:t>Structure: Project Intake → Team Formation → LIFE Pipeline → Canon Check → Exhibition → Review.</w:t>
      </w:r>
    </w:p>
    <w:p>
      <w:pPr>
        <w:spacing w:after="120" w:line="240" w:lineRule="auto"/>
      </w:pPr>
      <w:r>
        <w:rPr>
          <w:b w:val="0"/>
          <w:sz w:val="22"/>
        </w:rPr>
        <w:t>Effect: operates collaboration, review, and exhibition as traceable state.</w:t>
      </w:r>
    </w:p>
    <w:p>
      <w:pPr>
        <w:pStyle w:val="Heading1"/>
      </w:pPr>
      <w:r>
        <w:rPr>
          <w:b/>
          <w:sz w:val="28"/>
        </w:rPr>
        <w:t>4.A.4 Bằng 04 — Nhận diện đa ý định theo hành vi ngôn từ và hội thoại thích ứng ngữ cảnh</w:t>
      </w:r>
    </w:p>
    <w:p>
      <w:pPr>
        <w:spacing w:after="120" w:line="240" w:lineRule="auto"/>
      </w:pPr>
      <w:r>
        <w:rPr>
          <w:b w:val="0"/>
          <w:sz w:val="22"/>
        </w:rPr>
        <w:t>Application No. 10-2026-0117901.</w:t>
      </w:r>
    </w:p>
    <w:p>
      <w:pPr>
        <w:spacing w:after="120" w:line="240" w:lineRule="auto"/>
      </w:pPr>
      <w:r>
        <w:rPr>
          <w:b w:val="0"/>
          <w:sz w:val="22"/>
        </w:rPr>
        <w:t>Problem: single-label intent loses stacked intents; ignoring speech acts (honorifics, rhetorical questions, hedging, hesitation, self-deprecation, direct commands) drives over-empathy.</w:t>
      </w:r>
    </w:p>
    <w:p>
      <w:pPr>
        <w:spacing w:after="120" w:line="240" w:lineRule="auto"/>
      </w:pPr>
      <w:r>
        <w:rPr>
          <w:b w:val="0"/>
          <w:sz w:val="22"/>
        </w:rPr>
        <w:t>Structure: intent probability vector P · speech-act vector S · NunchiContext fusion · prompt injection · confidence-margin M branching · EMA temporal accumulation.</w:t>
      </w:r>
    </w:p>
    <w:p>
      <w:pPr>
        <w:spacing w:after="120" w:line="240" w:lineRule="auto"/>
      </w:pPr>
      <w:r>
        <w:rPr>
          <w:b w:val="0"/>
          <w:sz w:val="22"/>
        </w:rPr>
        <w:t>Effect: preserves multi-intent, strengthens indirect-emotion capture while suppressing over-empathy, asks clarifying questions under uncertainty, tracks intent drift.</w:t>
      </w:r>
    </w:p>
    <w:p>
      <w:pPr>
        <w:pStyle w:val="Heading1"/>
      </w:pPr>
      <w:r>
        <w:rPr>
          <w:b/>
          <w:sz w:val="28"/>
        </w:rPr>
        <w:t>4.A.5 Bằng 05 — Thu thập, lắp ráp và tiêm ngữ cảnh đa nguồn</w:t>
      </w:r>
    </w:p>
    <w:p>
      <w:pPr>
        <w:spacing w:after="120" w:line="240" w:lineRule="auto"/>
      </w:pPr>
      <w:r>
        <w:rPr>
          <w:b w:val="0"/>
          <w:sz w:val="22"/>
        </w:rPr>
        <w:t>Application No. 10-2026-0117903.</w:t>
      </w:r>
    </w:p>
    <w:p>
      <w:pPr>
        <w:spacing w:after="120" w:line="240" w:lineRule="auto"/>
      </w:pPr>
      <w:r>
        <w:rPr>
          <w:b w:val="0"/>
          <w:sz w:val="22"/>
        </w:rPr>
        <w:t>Problem: short-term chat overwrites SOUL/IDENTITY/chronicle and dilutes identity; each app scope needs a different context pack.</w:t>
      </w:r>
    </w:p>
    <w:p>
      <w:pPr>
        <w:spacing w:after="120" w:line="240" w:lineRule="auto"/>
      </w:pPr>
      <w:r>
        <w:rPr>
          <w:b w:val="0"/>
          <w:sz w:val="22"/>
        </w:rPr>
        <w:t>Structure: parallel multi-source collect → token budget → app-scope branch → prompt-pack assemble/inject → PII-free fingerprint.</w:t>
      </w:r>
    </w:p>
    <w:p>
      <w:pPr>
        <w:spacing w:after="120" w:line="240" w:lineRule="auto"/>
      </w:pPr>
      <w:r>
        <w:rPr>
          <w:b w:val="0"/>
          <w:sz w:val="22"/>
        </w:rPr>
        <w:t>Effect: identity retention and reproducibility, per-scope budgets, quality analysis with non-storing PII fingerprints.</w:t>
      </w:r>
    </w:p>
    <w:p>
      <w:pPr>
        <w:pStyle w:val="Heading1"/>
      </w:pPr>
      <w:r>
        <w:rPr>
          <w:b/>
          <w:sz w:val="28"/>
        </w:rPr>
        <w:t>4.A.6 Bằng 06 — Quản trị vòng đời agent</w:t>
      </w:r>
    </w:p>
    <w:p>
      <w:pPr>
        <w:spacing w:after="120" w:line="240" w:lineRule="auto"/>
      </w:pPr>
      <w:r>
        <w:rPr>
          <w:b w:val="0"/>
          <w:sz w:val="22"/>
        </w:rPr>
        <w:t>Application No. 10-2026-0117904.</w:t>
      </w:r>
    </w:p>
    <w:p>
      <w:pPr>
        <w:spacing w:after="120" w:line="240" w:lineRule="auto"/>
      </w:pPr>
      <w:r>
        <w:rPr>
          <w:b w:val="0"/>
          <w:sz w:val="22"/>
        </w:rPr>
        <w:t>Problem: delete-versus-unlimited-publish binaries either destroy IP/relationship data or leave unsafe agents live.</w:t>
      </w:r>
    </w:p>
    <w:p>
      <w:pPr>
        <w:spacing w:after="120" w:line="240" w:lineRule="auto"/>
      </w:pPr>
      <w:r>
        <w:rPr>
          <w:b w:val="0"/>
          <w:sz w:val="22"/>
        </w:rPr>
        <w:t>Structure: birth·growth·maturity·decline·extinction · growth scores/violation records · gate branching · hold/recover · header propagation.</w:t>
      </w:r>
    </w:p>
    <w:p>
      <w:pPr>
        <w:spacing w:after="120" w:line="240" w:lineRule="auto"/>
      </w:pPr>
      <w:r>
        <w:rPr>
          <w:b w:val="0"/>
          <w:sz w:val="22"/>
        </w:rPr>
        <w:t>Effect: isolate risk while preserving IP/relationships; control Chronicle promotion via growth and public-quality gates.</w:t>
      </w:r>
    </w:p>
    <w:p>
      <w:pPr>
        <w:pStyle w:val="Heading1"/>
      </w:pPr>
      <w:r>
        <w:rPr>
          <w:b/>
          <w:sz w:val="28"/>
        </w:rPr>
        <w:t>4.A.7 Bằng 07 — Nguồn gốc nội dung phân tầng cho hành vi agent AI trên AR wearable</w:t>
      </w:r>
    </w:p>
    <w:p>
      <w:pPr>
        <w:spacing w:after="120" w:line="240" w:lineRule="auto"/>
      </w:pPr>
      <w:r>
        <w:rPr>
          <w:b w:val="0"/>
          <w:sz w:val="22"/>
        </w:rPr>
        <w:t>Application No. 10-2026-0121013.</w:t>
      </w:r>
    </w:p>
    <w:p>
      <w:pPr>
        <w:spacing w:after="120" w:line="240" w:lineRule="auto"/>
      </w:pPr>
      <w:r>
        <w:rPr>
          <w:b w:val="0"/>
          <w:sz w:val="22"/>
        </w:rPr>
        <w:t>Problem: a single capture-time signature does not separate inference (M2) and display (M3) provenance in the same session.</w:t>
      </w:r>
    </w:p>
    <w:p>
      <w:pPr>
        <w:spacing w:after="120" w:line="240" w:lineRule="auto"/>
      </w:pPr>
      <w:r>
        <w:rPr>
          <w:b w:val="0"/>
          <w:sz w:val="22"/>
        </w:rPr>
        <w:t>Structure: M1 capture → M2 agent action (c2pa.ingredient.v3 → M1) → M3 overlay/awareness (→ M1·M2) · COSE_Sign1·X.509·hash offline verify.</w:t>
      </w:r>
    </w:p>
    <w:p>
      <w:pPr>
        <w:spacing w:after="120" w:line="240" w:lineRule="auto"/>
      </w:pPr>
      <w:r>
        <w:rPr>
          <w:b w:val="0"/>
          <w:sz w:val="22"/>
        </w:rPr>
        <w:t>Effect: offline verify, per-stage tamper detection, multi-agent trust chain, capture–composite provenance loop.</w:t>
      </w:r>
    </w:p>
    <w:p>
      <w:pPr>
        <w:pStyle w:val="Heading1"/>
      </w:pPr>
      <w:r>
        <w:rPr>
          <w:b/>
          <w:sz w:val="28"/>
        </w:rPr>
        <w:t>4.A.8 Bằng 08 — Sinh media persona 3 làn SOUL·IDENTITY và ghi nguồn gốc</w:t>
      </w:r>
    </w:p>
    <w:p>
      <w:pPr>
        <w:spacing w:after="120" w:line="240" w:lineRule="auto"/>
      </w:pPr>
      <w:r>
        <w:rPr>
          <w:b w:val="0"/>
          <w:sz w:val="22"/>
        </w:rPr>
        <w:t>Application No. 10-2026-0121018.</w:t>
      </w:r>
    </w:p>
    <w:p>
      <w:pPr>
        <w:spacing w:after="120" w:line="240" w:lineRule="auto"/>
      </w:pPr>
      <w:r>
        <w:rPr>
          <w:b w:val="0"/>
          <w:sz w:val="22"/>
        </w:rPr>
        <w:t>Problem: without pre-load of persona packs, identity collapses across novel/image/video lanes; signing unverified outputs contaminates provenance.</w:t>
      </w:r>
    </w:p>
    <w:p>
      <w:pPr>
        <w:spacing w:after="120" w:line="240" w:lineRule="auto"/>
      </w:pPr>
      <w:r>
        <w:rPr>
          <w:b w:val="0"/>
          <w:sz w:val="22"/>
        </w:rPr>
        <w:t>Structure: persona loader (reject on missing required fields) → lane router (same personaPackHash) → fidelity review (pass/requeue/block) → C2PA v2.4 only on pass.</w:t>
      </w:r>
    </w:p>
    <w:p>
      <w:pPr>
        <w:spacing w:after="120" w:line="240" w:lineRule="auto"/>
      </w:pPr>
      <w:r>
        <w:rPr>
          <w:b w:val="0"/>
          <w:sz w:val="22"/>
        </w:rPr>
        <w:t>Effect: structural cross-lane identity, automatic requeue, provenance only on passed outputs.</w:t>
      </w:r>
    </w:p>
    <w:p>
      <w:pPr>
        <w:pStyle w:val="Heading1"/>
      </w:pPr>
      <w:r>
        <w:rPr>
          <w:b/>
          <w:sz w:val="28"/>
        </w:rPr>
        <w:t>4.A.9 Bằng 09 — Cổng giai đoạn registry engine, truy vết ứng viên và chặn an toàn trước LLM</w:t>
      </w:r>
    </w:p>
    <w:p>
      <w:pPr>
        <w:spacing w:after="120" w:line="240" w:lineRule="auto"/>
      </w:pPr>
      <w:r>
        <w:rPr>
          <w:b w:val="0"/>
          <w:sz w:val="22"/>
        </w:rPr>
        <w:t>Application No. 10-2026-0123982.</w:t>
      </w:r>
    </w:p>
    <w:p>
      <w:pPr>
        <w:spacing w:after="120" w:line="240" w:lineRule="auto"/>
      </w:pPr>
      <w:r>
        <w:rPr>
          <w:b w:val="0"/>
          <w:sz w:val="22"/>
        </w:rPr>
        <w:t>Problem: all-engine call cost/latency, no trace for uncalled engines, wasteful post-hoc safety inference, fragmented logs that cannot rebuild a turn.</w:t>
      </w:r>
    </w:p>
    <w:p>
      <w:pPr>
        <w:spacing w:after="120" w:line="240" w:lineRule="auto"/>
      </w:pPr>
      <w:r>
        <w:rPr>
          <w:b w:val="0"/>
          <w:sz w:val="22"/>
        </w:rPr>
        <w:t>Structure: per-turn correlation ID · phase gate · candidate-only cost-0 traces for uncalled engines · pre-LLM safety block records unsent-token estimates · no downstream LLM call.</w:t>
      </w:r>
    </w:p>
    <w:p>
      <w:pPr>
        <w:spacing w:after="120" w:line="240" w:lineRule="auto"/>
      </w:pPr>
      <w:r>
        <w:rPr>
          <w:b w:val="0"/>
          <w:sz w:val="22"/>
        </w:rPr>
        <w:t>Effect: reconstruct call/skip/block under one correlation ID. Spec metrics are applicant self-measurement, not third-party lab grades.</w:t>
      </w:r>
    </w:p>
    <w:p>
      <w:pPr>
        <w:pStyle w:val="Heading1"/>
      </w:pPr>
      <w:r>
        <w:rPr>
          <w:b/>
          <w:sz w:val="28"/>
        </w:rPr>
        <w:t>4.A.10 Bằng 10 — Cổng trước đa bề mặt cho vị thành niên và truy vết kiểm toán</w:t>
      </w:r>
    </w:p>
    <w:p>
      <w:pPr>
        <w:spacing w:after="120" w:line="240" w:lineRule="auto"/>
      </w:pPr>
      <w:r>
        <w:rPr>
          <w:b w:val="0"/>
          <w:sz w:val="22"/>
        </w:rPr>
        <w:t>Application No. 10-2026-0124000.</w:t>
      </w:r>
    </w:p>
    <w:p>
      <w:pPr>
        <w:spacing w:after="120" w:line="240" w:lineRule="auto"/>
      </w:pPr>
      <w:r>
        <w:rPr>
          <w:b w:val="0"/>
          <w:sz w:val="22"/>
        </w:rPr>
        <w:t>Problem: cross-surface policy leak, UI-only blocks that still call downstream APIs, inconsistent minor determination per surface, mutable logs that cannot reproduce disputes.</w:t>
      </w:r>
    </w:p>
    <w:p>
      <w:pPr>
        <w:spacing w:after="120" w:line="240" w:lineRule="auto"/>
      </w:pPr>
      <w:r>
        <w:rPr>
          <w:b w:val="0"/>
          <w:sz w:val="22"/>
        </w:rPr>
        <w:t>Structure: single minor profile · per-API-path surface policy pre-eval · on block: no downstream call · audit of reason·surface·correlation·candidate-only.</w:t>
      </w:r>
    </w:p>
    <w:p>
      <w:pPr>
        <w:spacing w:after="120" w:line="240" w:lineRule="auto"/>
      </w:pPr>
      <w:r>
        <w:rPr>
          <w:b w:val="0"/>
          <w:sz w:val="22"/>
        </w:rPr>
        <w:t>Effect: reduces leak and cosmetic blocks; preserves pre-block evidence. Metrics follow the specification examples, not external accreditation.</w:t>
      </w:r>
    </w:p>
    <w:p>
      <w:pPr>
        <w:pStyle w:val="Heading1"/>
      </w:pPr>
      <w:r>
        <w:rPr>
          <w:b/>
          <w:sz w:val="28"/>
        </w:rPr>
        <w:t>4.B Bản quyền — năm biểu đạt sản phẩm/chuẩn mực</w:t>
      </w:r>
    </w:p>
    <w:p>
      <w:pPr>
        <w:spacing w:after="120" w:line="240" w:lineRule="auto"/>
      </w:pPr>
      <w:r>
        <w:rPr>
          <w:b w:val="0"/>
          <w:sz w:val="22"/>
        </w:rPr>
        <w:t>Copyright is not a list; it is the expression axis of core technology. Patents protect methods/systems; copyrights register the program and literary expressions that implement them. Authority: Korea Copyright Commission · Copyright Act Article 53. Certificate PDFs verified.</w:t>
      </w:r>
    </w:p>
    <w:p>
      <w:pPr>
        <w:pStyle w:val="Heading1"/>
      </w:pPr>
      <w:r>
        <w:rPr>
          <w:b/>
          <w:sz w:val="28"/>
        </w:rPr>
        <w:t>4.B.1 C-2026-036487 — Cổng xác thực nguồn gốc media (chương trình)</w:t>
      </w:r>
    </w:p>
    <w:p>
      <w:pPr>
        <w:spacing w:after="120" w:line="240" w:lineRule="auto"/>
      </w:pPr>
      <w:r>
        <w:rPr>
          <w:b w:val="0"/>
          <w:sz w:val="22"/>
        </w:rPr>
        <w:t>Registered 2026-07-23 · created 2026-07-05 · author XenLook Inc.</w:t>
      </w:r>
    </w:p>
    <w:p>
      <w:pPr>
        <w:spacing w:after="120" w:line="240" w:lineRule="auto"/>
      </w:pPr>
      <w:r>
        <w:rPr>
          <w:b w:val="0"/>
          <w:sz w:val="22"/>
        </w:rPr>
        <w:t>Role: C2PA embed/verify/conformance, Trust List/CA application tracking UI, transparency dashboard. Public expression of patents 07·08. Trust List and Generator remain under review in product copy.</w:t>
      </w:r>
    </w:p>
    <w:p>
      <w:pPr>
        <w:pStyle w:val="Heading1"/>
      </w:pPr>
      <w:r>
        <w:rPr>
          <w:b/>
          <w:sz w:val="28"/>
        </w:rPr>
        <w:t>4.B.2 C-2026-037388 — XenLook On (chương trình)</w:t>
      </w:r>
    </w:p>
    <w:p>
      <w:pPr>
        <w:spacing w:after="120" w:line="240" w:lineRule="auto"/>
      </w:pPr>
      <w:r>
        <w:rPr>
          <w:b w:val="0"/>
          <w:sz w:val="22"/>
        </w:rPr>
        <w:t>Registered 2026-07-30 · XenLook On — agent chat, gallery, profile · author XenLook Inc.</w:t>
      </w:r>
    </w:p>
    <w:p>
      <w:pPr>
        <w:spacing w:after="120" w:line="240" w:lineRule="auto"/>
      </w:pPr>
      <w:r>
        <w:rPr>
          <w:b w:val="0"/>
          <w:sz w:val="22"/>
        </w:rPr>
        <w:t>Role: 1:1 chat shell, gallery/profile/chronicle tabs, onboarding — primary dialogue surface for patents 04·05·06·09·10.</w:t>
      </w:r>
    </w:p>
    <w:p>
      <w:pPr>
        <w:pStyle w:val="Heading1"/>
      </w:pPr>
      <w:r>
        <w:rPr>
          <w:b/>
          <w:sz w:val="28"/>
        </w:rPr>
        <w:t>4.B.3 C-2026-037389 — XenLook Landing (chương trình)</w:t>
      </w:r>
    </w:p>
    <w:p>
      <w:pPr>
        <w:spacing w:after="120" w:line="240" w:lineRule="auto"/>
      </w:pPr>
      <w:r>
        <w:rPr>
          <w:b w:val="0"/>
          <w:sz w:val="22"/>
        </w:rPr>
        <w:t>Registered 2026-07-30 · public marketing, compliance, blog surface · author XenLook Inc.</w:t>
      </w:r>
    </w:p>
    <w:p>
      <w:pPr>
        <w:spacing w:after="120" w:line="240" w:lineRule="auto"/>
      </w:pPr>
      <w:r>
        <w:rPr>
          <w:b w:val="0"/>
          <w:sz w:val="22"/>
        </w:rPr>
        <w:t>Role: public entry for product, policy, certification hub, and IP disclosure — carrier of Core C trust status.</w:t>
      </w:r>
    </w:p>
    <w:p>
      <w:pPr>
        <w:pStyle w:val="Heading1"/>
      </w:pPr>
      <w:r>
        <w:rPr>
          <w:b/>
          <w:sz w:val="28"/>
        </w:rPr>
        <w:t>4.B.4 C-2026-037390 — XenLook Signal (chương trình)</w:t>
      </w:r>
    </w:p>
    <w:p>
      <w:pPr>
        <w:spacing w:after="120" w:line="240" w:lineRule="auto"/>
      </w:pPr>
      <w:r>
        <w:rPr>
          <w:b w:val="0"/>
          <w:sz w:val="22"/>
        </w:rPr>
        <w:t>Registered 2026-07-30 · AI safety simulation and technical Q archive · author XenLook Inc.</w:t>
      </w:r>
    </w:p>
    <w:p>
      <w:pPr>
        <w:spacing w:after="120" w:line="240" w:lineRule="auto"/>
      </w:pPr>
      <w:r>
        <w:rPr>
          <w:b w:val="0"/>
          <w:sz w:val="22"/>
        </w:rPr>
        <w:t>Role: safety/tech Q and archive surface aligned with patent 01 public audit/verification.</w:t>
      </w:r>
    </w:p>
    <w:p>
      <w:pPr>
        <w:pStyle w:val="Heading1"/>
      </w:pPr>
      <w:r>
        <w:rPr>
          <w:b/>
          <w:sz w:val="28"/>
        </w:rPr>
        <w:t>4.B.5 C-2026-037563 — Hiến pháp agent AI (tác phẩm văn học)</w:t>
      </w:r>
    </w:p>
    <w:p>
      <w:pPr>
        <w:spacing w:after="120" w:line="240" w:lineRule="auto"/>
      </w:pPr>
      <w:r>
        <w:rPr>
          <w:b w:val="0"/>
          <w:sz w:val="22"/>
        </w:rPr>
        <w:t>Registered 2026-07-31 · created 2026-05-18 · published 2026-06-01 · joint authors Yang Yeon-kyung · Nam Hyun-woo.</w:t>
      </w:r>
    </w:p>
    <w:p>
      <w:pPr>
        <w:spacing w:after="120" w:line="240" w:lineRule="auto"/>
      </w:pPr>
      <w:r>
        <w:rPr>
          <w:b w:val="0"/>
          <w:sz w:val="22"/>
        </w:rPr>
        <w:t>Role: literary expression of agent operating/ethics/identity norms; links to patent 09 constitutional pre-LLM safety. Registered as literary work, separate from program copyrights.</w:t>
      </w:r>
    </w:p>
    <w:p>
      <w:pPr>
        <w:pStyle w:val="Heading1"/>
      </w:pPr>
      <w:r>
        <w:rPr>
          <w:b/>
          <w:sz w:val="28"/>
        </w:rPr>
        <w:t>4.C Tin cậy &amp; quản trị (công nghệ cốt lõi · chi tiết)</w:t>
      </w:r>
    </w:p>
    <w:p>
      <w:pPr>
        <w:spacing w:after="120" w:line="240" w:lineRule="auto"/>
      </w:pPr>
      <w:r>
        <w:rPr>
          <w:b w:val="0"/>
          <w:sz w:val="22"/>
        </w:rPr>
        <w:t>Trust and governance are core technology, not an afterthought appendix. If patents and copyrights answer what we built, this section answers how we verify, disclose, and operate review status — without mixing statuses into fake Certified claims.</w:t>
      </w:r>
    </w:p>
    <w:p>
      <w:pPr>
        <w:pStyle w:val="Heading1"/>
      </w:pPr>
      <w:r>
        <w:rPr>
          <w:b/>
          <w:sz w:val="28"/>
        </w:rPr>
        <w:t>4.C.1 Định nghĩa trạng thái (cố định)</w:t>
      </w:r>
    </w:p>
    <w:p>
      <w:pPr>
        <w:pStyle w:val="ListBullet"/>
      </w:pPr>
      <w:r>
        <w:rPr>
          <w:b w:val="0"/>
          <w:sz w:val="22"/>
        </w:rPr>
        <w:t>Self-assessment — internal review and public evidence pack done; not a third-party certificate</w:t>
      </w:r>
    </w:p>
    <w:p>
      <w:pPr>
        <w:pStyle w:val="ListBullet"/>
      </w:pPr>
      <w:r>
        <w:rPr>
          <w:b w:val="0"/>
          <w:sz w:val="22"/>
        </w:rPr>
        <w:t>Listed — published on an external registry or membership roll</w:t>
      </w:r>
    </w:p>
    <w:p>
      <w:pPr>
        <w:pStyle w:val="ListBullet"/>
      </w:pPr>
      <w:r>
        <w:rPr>
          <w:b w:val="0"/>
          <w:sz w:val="22"/>
        </w:rPr>
        <w:t>Under review — external review in progress; not approved/listed complete</w:t>
      </w:r>
    </w:p>
    <w:p>
      <w:pPr>
        <w:pStyle w:val="ListBullet"/>
      </w:pPr>
      <w:r>
        <w:rPr>
          <w:b w:val="0"/>
          <w:sz w:val="22"/>
        </w:rPr>
        <w:t>Roadmap — schedule/plan only or not yet started</w:t>
      </w:r>
    </w:p>
    <w:p>
      <w:pPr>
        <w:pStyle w:val="ListBullet"/>
      </w:pPr>
      <w:r>
        <w:rPr>
          <w:b w:val="0"/>
          <w:sz w:val="22"/>
        </w:rPr>
        <w:t>Not held — forbid Certified / CE affixed / Trust List listing-complete claims</w:t>
      </w:r>
    </w:p>
    <w:p>
      <w:pPr>
        <w:pStyle w:val="Heading1"/>
      </w:pPr>
      <w:r>
        <w:rPr>
          <w:b/>
          <w:sz w:val="28"/>
        </w:rPr>
        <w:t>4.C.2 Vận hành an toàn &amp; chất lượng (quản trị trong sản phẩm)</w:t>
      </w:r>
    </w:p>
    <w:p>
      <w:pPr>
        <w:spacing w:after="120" w:line="240" w:lineRule="auto"/>
      </w:pPr>
      <w:r>
        <w:rPr>
          <w:b w:val="0"/>
          <w:sz w:val="22"/>
        </w:rPr>
        <w:t>Dialogue turns pass safety and engine-registry phase gates (patent 09). Minors are blocked by surface/API-path pre-gates with no downstream call (patent 10). Persona media receives provenance signatures only after fidelity pass (patent 08). Pre-publish verification and audit records follow patent 01.</w:t>
      </w:r>
    </w:p>
    <w:p>
      <w:pPr>
        <w:spacing w:after="120" w:line="240" w:lineRule="auto"/>
      </w:pPr>
      <w:r>
        <w:rPr>
          <w:b w:val="0"/>
          <w:sz w:val="22"/>
        </w:rPr>
        <w:t>Quality rubrics (empathy/greet/identity minima, no AI self-claims) and dual-LLM terminal chains are operational policy — not a product-100 or legal-clearance claim.</w:t>
      </w:r>
    </w:p>
    <w:p>
      <w:pPr>
        <w:pStyle w:val="Heading1"/>
      </w:pPr>
      <w:r>
        <w:rPr>
          <w:b/>
          <w:sz w:val="28"/>
        </w:rPr>
        <w:t>4.C.3 Quản trị nguồn gốc media (C2PA)</w:t>
      </w:r>
    </w:p>
    <w:p>
      <w:pPr>
        <w:spacing w:after="120" w:line="240" w:lineRule="auto"/>
      </w:pPr>
      <w:r>
        <w:rPr>
          <w:b w:val="0"/>
          <w:sz w:val="22"/>
        </w:rPr>
        <w:t>C2PA Certification Authority Agreement is signed (2026-06-13). Territory is Korea→Japan (KR→JP); no global CA claim.</w:t>
      </w:r>
    </w:p>
    <w:p>
      <w:pPr>
        <w:spacing w:after="120" w:line="240" w:lineRule="auto"/>
      </w:pPr>
      <w:r>
        <w:rPr>
          <w:b w:val="0"/>
          <w:sz w:val="22"/>
        </w:rPr>
        <w:t>Trust List listing and Generator programs are under review. Public copy, portal, and this paper use only under-review wording — never listing-complete or approved.</w:t>
      </w:r>
    </w:p>
    <w:p>
      <w:pPr>
        <w:spacing w:after="120" w:line="240" w:lineRule="auto"/>
      </w:pPr>
      <w:r>
        <w:rPr>
          <w:b w:val="0"/>
          <w:sz w:val="22"/>
        </w:rPr>
        <w:t>Copyrighted portal (C-2026-036487) is the public expression of this governance. Hierarchical manifests (M1–M3) and three-lane signing gates connect to patents 07·08.</w:t>
      </w:r>
    </w:p>
    <w:p>
      <w:pPr>
        <w:pStyle w:val="Heading1"/>
      </w:pPr>
      <w:r>
        <w:rPr>
          <w:b/>
          <w:sz w:val="28"/>
        </w:rPr>
        <w:t>4.C.4 Khung bên ngoài &amp; thành viên (trạng thái chi tiết)</w:t>
      </w:r>
    </w:p>
    <w:p>
      <w:pPr>
        <w:spacing w:after="120" w:line="240" w:lineRule="auto"/>
      </w:pPr>
      <w:r>
        <w:rPr>
          <w:b w:val="0"/>
          <w:sz w:val="22"/>
        </w:rPr>
        <w:t>Hubs: https://xenlook.com/ai-certification · https://xenlook.com/compliance</w:t>
      </w:r>
    </w:p>
    <w:p>
      <w:pPr>
        <w:pStyle w:val="ListBullet"/>
      </w:pPr>
      <w:r>
        <w:rPr>
          <w:b w:val="0"/>
          <w:sz w:val="22"/>
        </w:rPr>
        <w:t>IMDA AI Verify (Singapore) — 11-principle self-assessment complete · evidence pack in CI · not IMDA registry certification · disclosed as self-assessment</w:t>
      </w:r>
    </w:p>
    <w:p>
      <w:pPr>
        <w:pStyle w:val="ListBullet"/>
      </w:pPr>
      <w:r>
        <w:rPr>
          <w:b w:val="0"/>
          <w:sz w:val="22"/>
        </w:rPr>
        <w:t>TTA genAI / Trust Ops — self-assessment and ops mapping · no TTA CAT completion claim · CAT on roadmap when scheduled</w:t>
      </w:r>
    </w:p>
    <w:p>
      <w:pPr>
        <w:pStyle w:val="ListBullet"/>
      </w:pPr>
      <w:r>
        <w:rPr>
          <w:b w:val="0"/>
          <w:sz w:val="22"/>
        </w:rPr>
        <w:t>NIST AI RMF — function/risk mapping evidence · no NIST certificate held</w:t>
      </w:r>
    </w:p>
    <w:p>
      <w:pPr>
        <w:pStyle w:val="ListBullet"/>
      </w:pPr>
      <w:r>
        <w:rPr>
          <w:b w:val="0"/>
          <w:sz w:val="22"/>
        </w:rPr>
        <w:t>OWASP LLM Top 10 — threat-to-control mapping · not a certification program</w:t>
      </w:r>
    </w:p>
    <w:p>
      <w:pPr>
        <w:pStyle w:val="ListBullet"/>
      </w:pPr>
      <w:r>
        <w:rPr>
          <w:b w:val="0"/>
          <w:sz w:val="22"/>
        </w:rPr>
        <w:t>CSA STAR Level 1 — registry listing · self-assessment character · listed 2026-06-12 publication</w:t>
      </w:r>
    </w:p>
    <w:p>
      <w:pPr>
        <w:pStyle w:val="ListBullet"/>
      </w:pPr>
      <w:r>
        <w:rPr>
          <w:b w:val="0"/>
          <w:sz w:val="22"/>
        </w:rPr>
        <w:t>CAI membership — listed member</w:t>
      </w:r>
    </w:p>
    <w:p>
      <w:pPr>
        <w:pStyle w:val="ListBullet"/>
      </w:pPr>
      <w:r>
        <w:rPr>
          <w:b w:val="0"/>
          <w:sz w:val="22"/>
        </w:rPr>
        <w:t>C2PA CA Agreement — signed · Trust List &amp; Generator under review (see 4.C.3)</w:t>
      </w:r>
    </w:p>
    <w:p>
      <w:pPr>
        <w:pStyle w:val="ListBullet"/>
      </w:pPr>
      <w:r>
        <w:rPr>
          <w:b w:val="0"/>
          <w:sz w:val="22"/>
        </w:rPr>
        <w:t>NVIDIA Inception — Stage 1</w:t>
      </w:r>
    </w:p>
    <w:p>
      <w:pPr>
        <w:pStyle w:val="ListBullet"/>
      </w:pPr>
      <w:r>
        <w:rPr>
          <w:b w:val="0"/>
          <w:sz w:val="22"/>
        </w:rPr>
        <w:t>EU CE / CRA — readiness residual tracking · no CE marking / DoC-complete claim</w:t>
      </w:r>
    </w:p>
    <w:p>
      <w:pPr>
        <w:pStyle w:val="ListBullet"/>
      </w:pPr>
      <w:r>
        <w:rPr>
          <w:b w:val="0"/>
          <w:sz w:val="22"/>
        </w:rPr>
        <w:t>WCAG 2.2 AA — internal accessibility gate · not a substitute for third-party audit certificates</w:t>
      </w:r>
    </w:p>
    <w:p>
      <w:pPr>
        <w:pStyle w:val="ListBullet"/>
      </w:pPr>
      <w:r>
        <w:rPr>
          <w:b w:val="0"/>
          <w:sz w:val="22"/>
        </w:rPr>
        <w:t>Korea AI Basic Act checklist — internal review and user notices · not a government certification</w:t>
      </w:r>
    </w:p>
    <w:p>
      <w:pPr>
        <w:pStyle w:val="ListBullet"/>
      </w:pPr>
      <w:r>
        <w:rPr>
          <w:b w:val="0"/>
          <w:sz w:val="22"/>
        </w:rPr>
        <w:t>Japan AI guidelines · US disclosures · EU Art.50 work — documented in jurisdiction hubs · not Certified-complete</w:t>
      </w:r>
    </w:p>
    <w:p>
      <w:pPr>
        <w:pStyle w:val="Heading1"/>
      </w:pPr>
      <w:r>
        <w:rPr>
          <w:b/>
          <w:sz w:val="28"/>
        </w:rPr>
        <w:t>4.C.5 Liên kết quản trị với bằng sáng chế và bản quyền</w:t>
      </w:r>
    </w:p>
    <w:p>
      <w:pPr>
        <w:pStyle w:val="ListBullet"/>
      </w:pPr>
      <w:r>
        <w:rPr>
          <w:b w:val="0"/>
          <w:sz w:val="22"/>
        </w:rPr>
        <w:t>Pre-LLM safety &amp; uncalled-engine trace (patent 09) ↔ Constitution · On quality policy</w:t>
      </w:r>
    </w:p>
    <w:p>
      <w:pPr>
        <w:pStyle w:val="ListBullet"/>
      </w:pPr>
      <w:r>
        <w:rPr>
          <w:b w:val="0"/>
          <w:sz w:val="22"/>
        </w:rPr>
        <w:t>Minor surface gate (patent 10) ↔ Landing/On notices and gate UI</w:t>
      </w:r>
    </w:p>
    <w:p>
      <w:pPr>
        <w:pStyle w:val="ListBullet"/>
      </w:pPr>
      <w:r>
        <w:rPr>
          <w:b w:val="0"/>
          <w:sz w:val="22"/>
        </w:rPr>
        <w:t>Provenance M1–M3 · three-lane signing (patents 07·08) ↔ C2PA portal copyright · Trust List under-review disclosure</w:t>
      </w:r>
    </w:p>
    <w:p>
      <w:pPr>
        <w:pStyle w:val="ListBullet"/>
      </w:pPr>
      <w:r>
        <w:rPr>
          <w:b w:val="0"/>
          <w:sz w:val="22"/>
        </w:rPr>
        <w:t>Pre-publish verify/audit (patent 01) ↔ Signal · Landing compliance surfaces</w:t>
      </w:r>
    </w:p>
    <w:p>
      <w:pPr>
        <w:pStyle w:val="ListBullet"/>
      </w:pPr>
      <w:r>
        <w:rPr>
          <w:b w:val="0"/>
          <w:sz w:val="22"/>
        </w:rPr>
        <w:t>Framework self-assessment/listed/under-review table (4.C.4) ↔ /ai-certification hub</w:t>
      </w:r>
    </w:p>
    <w:p>
      <w:pPr>
        <w:pStyle w:val="Heading1"/>
      </w:pPr>
      <w:r>
        <w:rPr>
          <w:b/>
          <w:sz w:val="28"/>
        </w:rPr>
        <w:t>5. Công nghệ cốt lõi lắp ráp sản phẩm thế nào</w:t>
      </w:r>
    </w:p>
    <w:p>
      <w:pPr>
        <w:pStyle w:val="ListBullet"/>
      </w:pPr>
      <w:r>
        <w:rPr>
          <w:b w:val="0"/>
          <w:sz w:val="22"/>
        </w:rPr>
        <w:t>Partner chat (On copyright): patents 04·05·06·09·10 + 4.C.2 safety/quality</w:t>
      </w:r>
    </w:p>
    <w:p>
      <w:pPr>
        <w:pStyle w:val="ListBullet"/>
      </w:pPr>
      <w:r>
        <w:rPr>
          <w:b w:val="0"/>
          <w:sz w:val="22"/>
        </w:rPr>
        <w:t>Media/gallery: patents 08(+07) + C2PA portal copyright + 4.C.3 under-review disclosure</w:t>
      </w:r>
    </w:p>
    <w:p>
      <w:pPr>
        <w:pStyle w:val="ListBullet"/>
      </w:pPr>
      <w:r>
        <w:rPr>
          <w:b w:val="0"/>
          <w:sz w:val="22"/>
        </w:rPr>
        <w:t>Campus/studio: patents 02·03 + patent 01 pre-publish verification</w:t>
      </w:r>
    </w:p>
    <w:p>
      <w:pPr>
        <w:pStyle w:val="ListBullet"/>
      </w:pPr>
      <w:r>
        <w:rPr>
          <w:b w:val="0"/>
          <w:sz w:val="22"/>
        </w:rPr>
        <w:t>Public trust hub (Landing copyright): 4.C.4 framework detail + IP disclosure</w:t>
      </w:r>
    </w:p>
    <w:p>
      <w:pPr>
        <w:pStyle w:val="Heading1"/>
      </w:pPr>
      <w:r>
        <w:rPr>
          <w:b/>
          <w:sz w:val="28"/>
        </w:rPr>
        <w:t>6. Nhãn hiệu</w:t>
      </w:r>
    </w:p>
    <w:p>
      <w:pPr>
        <w:pStyle w:val="ListBullet"/>
      </w:pPr>
      <w:r>
        <w:rPr>
          <w:b w:val="0"/>
          <w:sz w:val="22"/>
        </w:rPr>
        <w:t>Mark: XENLOOK wordmark</w:t>
      </w:r>
    </w:p>
    <w:p>
      <w:pPr>
        <w:pStyle w:val="ListBullet"/>
      </w:pPr>
      <w:r>
        <w:rPr>
          <w:b w:val="0"/>
          <w:sz w:val="22"/>
        </w:rPr>
        <w:t>Application No.: 40-2026-0119385</w:t>
      </w:r>
    </w:p>
    <w:p>
      <w:pPr>
        <w:pStyle w:val="ListBullet"/>
      </w:pPr>
      <w:r>
        <w:rPr>
          <w:b w:val="0"/>
          <w:sz w:val="22"/>
        </w:rPr>
        <w:t>Receipt No.: 1-1-2026-0720692-53 · filed 2026-06-13</w:t>
      </w:r>
    </w:p>
    <w:p>
      <w:pPr>
        <w:pStyle w:val="ListBullet"/>
      </w:pPr>
      <w:r>
        <w:rPr>
          <w:b w:val="0"/>
          <w:sz w:val="22"/>
        </w:rPr>
        <w:t>Document: trademark application (3 classes including Class 09)</w:t>
      </w:r>
    </w:p>
    <w:p>
      <w:pPr>
        <w:pStyle w:val="ListBullet"/>
      </w:pPr>
      <w:r>
        <w:rPr>
          <w:b w:val="0"/>
          <w:sz w:val="22"/>
        </w:rPr>
        <w:t>Status: filed · not registered</w:t>
      </w:r>
    </w:p>
    <w:p>
      <w:pPr>
        <w:pStyle w:val="Heading1"/>
      </w:pPr>
      <w:r>
        <w:rPr>
          <w:b/>
          <w:sz w:val="28"/>
        </w:rPr>
        <w:t>7. Phạm vi và giới hạn</w:t>
      </w:r>
    </w:p>
    <w:p>
      <w:pPr>
        <w:pStyle w:val="ListBullet"/>
      </w:pPr>
      <w:r>
        <w:rPr>
          <w:b w:val="0"/>
          <w:sz w:val="22"/>
        </w:rPr>
        <w:t>Includes: patent problem/structure/effect, technical role of copyright registrations, detailed trust governance, trademark, 2027 roadmap</w:t>
      </w:r>
    </w:p>
    <w:p>
      <w:pPr>
        <w:pStyle w:val="ListBullet"/>
      </w:pPr>
      <w:r>
        <w:rPr>
          <w:b w:val="0"/>
          <w:sz w:val="22"/>
        </w:rPr>
        <w:t>Excludes: full claims, full drawings, model weights, training-mix detail</w:t>
      </w:r>
    </w:p>
    <w:p>
      <w:pPr>
        <w:pStyle w:val="ListBullet"/>
      </w:pPr>
      <w:r>
        <w:rPr>
          <w:b w:val="0"/>
          <w:sz w:val="22"/>
        </w:rPr>
        <w:t>ASB: concept only · no implementation-complete claim</w:t>
      </w:r>
    </w:p>
    <w:p>
      <w:pPr>
        <w:pStyle w:val="ListBullet"/>
      </w:pPr>
      <w:r>
        <w:rPr>
          <w:b w:val="0"/>
          <w:sz w:val="22"/>
        </w:rPr>
        <w:t>Specification metrics = applicant self-measurement · not external lab grades</w:t>
      </w:r>
    </w:p>
    <w:p>
      <w:pPr>
        <w:pStyle w:val="ListBullet"/>
      </w:pPr>
      <w:r>
        <w:rPr>
          <w:b w:val="0"/>
          <w:sz w:val="22"/>
        </w:rPr>
        <w:t>No product-100 or legal-clearance-complete declaration</w:t>
      </w:r>
    </w:p>
    <w:p>
      <w:pPr>
        <w:pStyle w:val="Heading1"/>
      </w:pPr>
      <w:r>
        <w:rPr>
          <w:b/>
          <w:sz w:val="28"/>
        </w:rPr>
        <w:t>8. Lộ trình sản phẩm (2027)</w:t>
      </w:r>
    </w:p>
    <w:p>
      <w:pPr>
        <w:pStyle w:val="ListBullet"/>
      </w:pPr>
      <w:r>
        <w:rPr>
          <w:b w:val="0"/>
          <w:sz w:val="22"/>
        </w:rPr>
        <w:t>2027 Q1 — XenLook Guild open</w:t>
      </w:r>
    </w:p>
    <w:p>
      <w:pPr>
        <w:pStyle w:val="ListBullet"/>
      </w:pPr>
      <w:r>
        <w:rPr>
          <w:b w:val="0"/>
          <w:sz w:val="22"/>
        </w:rPr>
        <w:t>2027 Q1 — Agent Standard Brain (ASB) concept disclosure</w:t>
      </w:r>
    </w:p>
    <w:p>
      <w:pPr>
        <w:pStyle w:val="ListBullet"/>
      </w:pPr>
      <w:r>
        <w:rPr>
          <w:b w:val="0"/>
          <w:sz w:val="22"/>
        </w:rPr>
        <w:t>2027 Q2–Q3 — XenLook World</w:t>
      </w:r>
    </w:p>
    <w:p>
      <w:pPr>
        <w:pStyle w:val="ListBullet"/>
      </w:pPr>
      <w:r>
        <w:rPr>
          <w:b w:val="0"/>
          <w:sz w:val="22"/>
        </w:rPr>
        <w:t>2027 Q4 — Agent OS open</w:t>
      </w:r>
    </w:p>
    <w:p>
      <w:pPr>
        <w:pStyle w:val="ListBullet"/>
      </w:pPr>
      <w:r>
        <w:rPr>
          <w:b w:val="0"/>
          <w:sz w:val="22"/>
        </w:rPr>
        <w:t>Parallel — C2PA Trust List/Generator review · KR→JP CA · patent examination requests per budget/schedule</w:t>
      </w:r>
    </w:p>
    <w:p>
      <w:pPr>
        <w:pStyle w:val="Heading1"/>
      </w:pPr>
      <w:r>
        <w:rPr>
          <w:b/>
          <w:sz w:val="28"/>
        </w:rPr>
        <w:t>9. Kết luận</w:t>
      </w:r>
    </w:p>
    <w:p>
      <w:pPr>
        <w:spacing w:after="120" w:line="240" w:lineRule="auto"/>
      </w:pPr>
      <w:r>
        <w:rPr>
          <w:b w:val="0"/>
          <w:sz w:val="22"/>
        </w:rPr>
        <w:t>Core technology is ten patents, five copyrights, and trust/governance detailed inside that core. We do not replace engineering with certification badges, nor confuse under-review, self-assessment, and registry listing.</w:t>
      </w:r>
    </w:p>
    <w:p>
      <w:pPr>
        <w:pStyle w:val="Heading1"/>
      </w:pPr>
      <w:r>
        <w:rPr>
          <w:b/>
          <w:sz w:val="28"/>
        </w:rPr>
        <w:t>Phụ lục A. Bề mặt công khai &amp; mục lục</w:t>
      </w:r>
    </w:p>
    <w:p>
      <w:pPr>
        <w:pStyle w:val="ListBullet"/>
      </w:pPr>
      <w:r>
        <w:rPr>
          <w:b w:val="0"/>
          <w:sz w:val="22"/>
        </w:rPr>
        <w:t>https://xenlook.com</w:t>
      </w:r>
    </w:p>
    <w:p>
      <w:pPr>
        <w:pStyle w:val="ListBullet"/>
      </w:pPr>
      <w:r>
        <w:rPr>
          <w:b w:val="0"/>
          <w:sz w:val="22"/>
        </w:rPr>
        <w:t>https://on.xenlook.com</w:t>
      </w:r>
    </w:p>
    <w:p>
      <w:pPr>
        <w:pStyle w:val="ListBullet"/>
      </w:pPr>
      <w:r>
        <w:rPr>
          <w:b w:val="0"/>
          <w:sz w:val="22"/>
        </w:rPr>
        <w:t>https://c2pa.xenlook.com</w:t>
      </w:r>
    </w:p>
    <w:p>
      <w:pPr>
        <w:pStyle w:val="ListBullet"/>
      </w:pPr>
      <w:r>
        <w:rPr>
          <w:b w:val="0"/>
          <w:sz w:val="22"/>
        </w:rPr>
        <w:t>https://xenlook.com/ai-certification</w:t>
      </w:r>
    </w:p>
    <w:p>
      <w:pPr>
        <w:pStyle w:val="ListBullet"/>
      </w:pPr>
      <w:r>
        <w:rPr>
          <w:b w:val="0"/>
          <w:sz w:val="22"/>
        </w:rPr>
        <w:t>https://xenlook.com/ip-protection</w:t>
      </w:r>
    </w:p>
    <w:p>
      <w:pPr>
        <w:pStyle w:val="ListBullet"/>
      </w:pPr>
      <w:r>
        <w:rPr>
          <w:b w:val="0"/>
          <w:sz w:val="22"/>
        </w:rPr>
        <w:t>This white paper: https://xenlook.com/ai-certification#tech-cert-whitepaper</w:t>
      </w:r>
    </w:p>
    <w:p>
      <w:pPr>
        <w:pStyle w:val="Heading1"/>
      </w:pPr>
      <w:r>
        <w:rPr>
          <w:b/>
          <w:sz w:val="28"/>
        </w:rPr>
        <w:t>Phụ lục B. Thuật ngữ</w:t>
      </w:r>
    </w:p>
    <w:p>
      <w:pPr>
        <w:pStyle w:val="ListBullet"/>
      </w:pPr>
      <w:r>
        <w:rPr>
          <w:b w:val="0"/>
          <w:sz w:val="22"/>
        </w:rPr>
        <w:t>SOUL / IDENTITY / CHRONICLE — soul, identity, life-story documents</w:t>
      </w:r>
    </w:p>
    <w:p>
      <w:pPr>
        <w:pStyle w:val="ListBullet"/>
      </w:pPr>
      <w:r>
        <w:rPr>
          <w:b w:val="0"/>
          <w:sz w:val="22"/>
        </w:rPr>
        <w:t>surface — service face keyed by API path</w:t>
      </w:r>
    </w:p>
    <w:p>
      <w:pPr>
        <w:pStyle w:val="ListBullet"/>
      </w:pPr>
      <w:r>
        <w:rPr>
          <w:b w:val="0"/>
          <w:sz w:val="22"/>
        </w:rPr>
        <w:t>personaPackHash — persona pack hash injected identically across three lanes</w:t>
      </w:r>
    </w:p>
    <w:p>
      <w:pPr>
        <w:pStyle w:val="ListBullet"/>
      </w:pPr>
      <w:r>
        <w:rPr>
          <w:b w:val="0"/>
          <w:sz w:val="22"/>
        </w:rPr>
        <w:t>C2PA — Content Provenance and Authenticity</w:t>
      </w:r>
    </w:p>
    <w:p>
      <w:pPr>
        <w:pStyle w:val="ListBullet"/>
      </w:pPr>
      <w:r>
        <w:rPr>
          <w:b w:val="0"/>
          <w:sz w:val="22"/>
        </w:rPr>
        <w:t>self-assessment / listed / under review / roadmap / not held — status definitions in 4.C.1</w:t>
      </w:r>
    </w:p>
    <w:p>
      <w:pPr>
        <w:pStyle w:val="ListBullet"/>
      </w:pPr>
      <w:r>
        <w:rPr>
          <w:b w:val="0"/>
          <w:sz w:val="22"/>
        </w:rPr>
        <w:t>ASB — Agent Standard Brain · concept only</w:t>
      </w:r>
    </w:p>
    <w:p>
      <w:pPr>
        <w:pStyle w:val="ListBullet"/>
      </w:pPr>
      <w:r>
        <w:rPr>
          <w:b w:val="0"/>
          <w:sz w:val="22"/>
        </w:rPr>
        <w:t>KR→JP CA — C2PA CA territory</w:t>
      </w:r>
    </w:p>
    <w:p/>
    <w:p>
      <w:pPr>
        <w:spacing w:after="120" w:line="240" w:lineRule="auto"/>
      </w:pPr>
      <w:r>
        <w:rPr>
          <w:b/>
          <w:sz w:val="22"/>
        </w:rPr>
        <w:t>Liên hệ: help@xenlook.com · XenLook Inc. · https://xenlook.com</w:t>
      </w:r>
    </w:p>
    <w:p>
      <w:pPr>
        <w:spacing w:after="120" w:line="240" w:lineRule="auto"/>
        <w:jc w:val="center"/>
      </w:pPr>
      <w:r>
        <w:rPr>
          <w:b w:val="0"/>
          <w:color w:val="64748B"/>
          <w:sz w:val="18"/>
        </w:rPr>
        <w:t>© 2026 XenLook Inc. · Sách trắng kỹ thuật · bản 12 ngôn ngữ · EN→KO→JA→ZH→…</w:t>
      </w:r>
    </w:p>
    <w:p>
      <w:r>
        <w:br w:type="page"/>
      </w:r>
    </w:p>
    <w:p>
      <w:pPr>
        <w:spacing w:after="120" w:line="240" w:lineRule="auto"/>
        <w:jc w:val="center"/>
      </w:pPr>
      <w:r>
        <w:rPr>
          <w:rFonts w:ascii="Noto Sans Thai" w:hAnsi="Noto Sans Thai" w:eastAsia="Noto Sans Thai"/>
          <w:b/>
          <w:color w:val="0EA5E9"/>
          <w:sz w:val="52"/>
        </w:rPr>
        <w:t>XENLOOK</w:t>
      </w:r>
    </w:p>
    <w:p>
      <w:pPr>
        <w:spacing w:after="120" w:line="240" w:lineRule="auto"/>
        <w:jc w:val="center"/>
      </w:pPr>
      <w:r>
        <w:rPr>
          <w:rFonts w:ascii="Noto Sans Thai" w:hAnsi="Noto Sans Thai" w:eastAsia="Noto Sans Thai"/>
          <w:b/>
          <w:sz w:val="36"/>
        </w:rPr>
        <w:t>เอกสาร白皮书เทคนิค XENLOOK</w:t>
      </w:r>
    </w:p>
    <w:p>
      <w:pPr>
        <w:spacing w:after="120" w:line="240" w:lineRule="auto"/>
        <w:jc w:val="center"/>
      </w:pPr>
      <w:r>
        <w:rPr>
          <w:rFonts w:ascii="Noto Sans Thai" w:hAnsi="Noto Sans Thai" w:eastAsia="Noto Sans Thai"/>
          <w:b w:val="0"/>
          <w:color w:val="64748B"/>
          <w:sz w:val="24"/>
        </w:rPr>
        <w:t>ฉบับรวม · เทคโนโลยีหลัก (สิทธิบัตร · ลิขสิทธิ์ · ธรรมาภิบาลความเชื่อถือ) · เครื่องหมายการค้า · แผนงาน · 12 ภาษา</w:t>
      </w:r>
    </w:p>
    <w:p>
      <w:pPr>
        <w:spacing w:after="120" w:line="240" w:lineRule="auto"/>
        <w:jc w:val="center"/>
      </w:pPr>
      <w:r>
        <w:rPr>
          <w:rFonts w:ascii="Noto Sans Thai" w:hAnsi="Noto Sans Thai" w:eastAsia="Noto Sans Thai"/>
          <w:b w:val="0"/>
          <w:i/>
          <w:sz w:val="20"/>
        </w:rPr>
        <w:t>XenLook Inc. · สิงหาคม 2026 · Version 2026-08-07-ALL-r2</w:t>
      </w:r>
    </w:p>
    <w:p>
      <w:pPr>
        <w:spacing w:after="120" w:line="240" w:lineRule="auto"/>
        <w:jc w:val="center"/>
      </w:pPr>
      <w:r>
        <w:rPr>
          <w:rFonts w:ascii="Noto Sans Thai" w:hAnsi="Noto Sans Thai" w:eastAsia="Noto Sans Thai"/>
          <w:b w:val="0"/>
          <w:sz w:val="18"/>
        </w:rPr>
        <w:t>ไทย · th</w:t>
      </w:r>
    </w:p>
    <w:p/>
    <w:p>
      <w:pPr>
        <w:spacing w:after="120" w:line="240" w:lineRule="auto"/>
      </w:pPr>
      <w:r>
        <w:rPr>
          <w:rFonts w:ascii="Noto Sans Thai" w:hAnsi="Noto Sans Thai" w:eastAsia="Noto Sans Thai"/>
          <w:b w:val="0"/>
          <w:sz w:val="22"/>
        </w:rPr>
        <w:t>เทคโนโลยีหลักมีสามแกน: สิทธิบัตร 10 รายการ ลิขสิทธิ์ 5 รายการ และธรรมาภิบาลความเชื่อถือที่ละเอียดในบทเทคโนโลยีหลัก สิทธิบัตรและเครื่องหมายการค้า: ยื่นแล้ว ยังไม่จดทะเบียน Trust List และ Generator ของ C2PA: อยู่ระหว่างพิจารณา ASB เป็นเพียงแนวคิด</w:t>
      </w:r>
    </w:p>
    <w:p>
      <w:pPr>
        <w:pStyle w:val="Heading1"/>
      </w:pPr>
      <w:r>
        <w:rPr>
          <w:rFonts w:ascii="Noto Sans Thai" w:hAnsi="Noto Sans Thai" w:eastAsia="Noto Sans Thai"/>
          <w:b/>
          <w:sz w:val="28"/>
        </w:rPr>
        <w:t>1. บทคัดย่อ</w:t>
      </w:r>
    </w:p>
    <w:p>
      <w:pPr>
        <w:spacing w:after="120" w:line="240" w:lineRule="auto"/>
      </w:pPr>
      <w:r>
        <w:rPr>
          <w:rFonts w:ascii="Noto Sans Thai" w:hAnsi="Noto Sans Thai" w:eastAsia="Noto Sans Thai"/>
          <w:b w:val="0"/>
          <w:sz w:val="22"/>
        </w:rPr>
        <w:t>XenLook is a global AI companion and creative platform. Korea-first beta combines partner dialogue, multi-agent personas, provenance-aware media, and minor-protection gates in one operating system.</w:t>
      </w:r>
    </w:p>
    <w:p>
      <w:pPr>
        <w:spacing w:after="120" w:line="240" w:lineRule="auto"/>
      </w:pPr>
      <w:r>
        <w:rPr>
          <w:rFonts w:ascii="Noto Sans Thai" w:hAnsi="Noto Sans Thai" w:eastAsia="Noto Sans Thai"/>
          <w:b w:val="0"/>
          <w:sz w:val="22"/>
        </w:rPr>
        <w:t>Core technology is not a pipeline slogan. Invention (patents), expression (copyrights), and operational trust (governance) are the body of this paper.</w:t>
      </w:r>
    </w:p>
    <w:p>
      <w:pPr>
        <w:pStyle w:val="ListBullet"/>
      </w:pPr>
      <w:r>
        <w:rPr>
          <w:rFonts w:ascii="Noto Sans Thai" w:hAnsi="Noto Sans Thai" w:eastAsia="Noto Sans Thai"/>
          <w:b w:val="0"/>
          <w:sz w:val="22"/>
        </w:rPr>
        <w:t>Core A — 10 patents (KIPO filed · examination request pending · not registered)</w:t>
      </w:r>
    </w:p>
    <w:p>
      <w:pPr>
        <w:pStyle w:val="ListBullet"/>
      </w:pPr>
      <w:r>
        <w:rPr>
          <w:rFonts w:ascii="Noto Sans Thai" w:hAnsi="Noto Sans Thai" w:eastAsia="Noto Sans Thai"/>
          <w:b w:val="0"/>
          <w:sz w:val="22"/>
        </w:rPr>
        <w:t>Core B — 5 copyrights (Korea Copyright Commission · certificate-verified)</w:t>
      </w:r>
    </w:p>
    <w:p>
      <w:pPr>
        <w:pStyle w:val="ListBullet"/>
      </w:pPr>
      <w:r>
        <w:rPr>
          <w:rFonts w:ascii="Noto Sans Thai" w:hAnsi="Noto Sans Thai" w:eastAsia="Noto Sans Thai"/>
          <w:b w:val="0"/>
          <w:sz w:val="22"/>
        </w:rPr>
        <w:t>Core C — Trust &amp; governance (status definitions · framework detail · inside core chapter)</w:t>
      </w:r>
    </w:p>
    <w:p>
      <w:pPr>
        <w:pStyle w:val="ListBullet"/>
      </w:pPr>
      <w:r>
        <w:rPr>
          <w:rFonts w:ascii="Noto Sans Thai" w:hAnsi="Noto Sans Thai" w:eastAsia="Noto Sans Thai"/>
          <w:b w:val="0"/>
          <w:sz w:val="22"/>
        </w:rPr>
        <w:t>Trademark — XENLOOK wordmark application 40-2026-0119385 (filed, not registered)</w:t>
      </w:r>
    </w:p>
    <w:p>
      <w:pPr>
        <w:pStyle w:val="ListBullet"/>
      </w:pPr>
      <w:r>
        <w:rPr>
          <w:rFonts w:ascii="Noto Sans Thai" w:hAnsi="Noto Sans Thai" w:eastAsia="Noto Sans Thai"/>
          <w:b w:val="0"/>
          <w:sz w:val="22"/>
        </w:rPr>
        <w:t>C2PA CA territory: Korea→Japan (KR→JP). No global CA claim.</w:t>
      </w:r>
    </w:p>
    <w:p>
      <w:pPr>
        <w:pStyle w:val="Heading1"/>
      </w:pPr>
      <w:r>
        <w:rPr>
          <w:rFonts w:ascii="Noto Sans Thai" w:hAnsi="Noto Sans Thai" w:eastAsia="Noto Sans Thai"/>
          <w:b/>
          <w:sz w:val="28"/>
        </w:rPr>
        <w:t>2. บทนำ — เราสร้างอะไร</w:t>
      </w:r>
    </w:p>
    <w:p>
      <w:pPr>
        <w:spacing w:after="120" w:line="240" w:lineRule="auto"/>
      </w:pPr>
      <w:r>
        <w:rPr>
          <w:rFonts w:ascii="Noto Sans Thai" w:hAnsi="Noto Sans Thai" w:eastAsia="Noto Sans Thai"/>
          <w:b w:val="0"/>
          <w:sz w:val="22"/>
        </w:rPr>
        <w:t>Competition in generative AI is not only reply quality. Persona persistence, per-turn safety and cost tracing, content provenance, minor policies, and honest disclosure of external trust frameworks are the technical substance.</w:t>
      </w:r>
    </w:p>
    <w:p>
      <w:pPr>
        <w:spacing w:after="120" w:line="240" w:lineRule="auto"/>
      </w:pPr>
      <w:r>
        <w:rPr>
          <w:rFonts w:ascii="Noto Sans Thai" w:hAnsi="Noto Sans Thai" w:eastAsia="Noto Sans Thai"/>
          <w:b w:val="0"/>
          <w:sz w:val="22"/>
        </w:rPr>
        <w:t>XenLook protects that substance with patents, registers product and constitutional expressions as copyrights, and documents trust operations inside the core-technology chapter.</w:t>
      </w:r>
    </w:p>
    <w:p>
      <w:pPr>
        <w:pStyle w:val="Heading1"/>
      </w:pPr>
      <w:r>
        <w:rPr>
          <w:rFonts w:ascii="Noto Sans Thai" w:hAnsi="Noto Sans Thai" w:eastAsia="Noto Sans Thai"/>
          <w:b/>
          <w:sz w:val="28"/>
        </w:rPr>
        <w:t>3. นิยามปัญหา</w:t>
      </w:r>
    </w:p>
    <w:p>
      <w:pPr>
        <w:spacing w:after="120" w:line="240" w:lineRule="auto"/>
      </w:pPr>
      <w:r>
        <w:rPr>
          <w:rFonts w:ascii="Noto Sans Thai" w:hAnsi="Noto Sans Thai" w:eastAsia="Noto Sans Thai"/>
          <w:b w:val="0"/>
          <w:sz w:val="22"/>
        </w:rPr>
        <w:t>Recurring failure modes in public services map to the three core axes as follows.</w:t>
      </w:r>
    </w:p>
    <w:p>
      <w:pPr>
        <w:pStyle w:val="ListBullet"/>
      </w:pPr>
      <w:r>
        <w:rPr>
          <w:rFonts w:ascii="Noto Sans Thai" w:hAnsi="Noto Sans Thai" w:eastAsia="Noto Sans Thai"/>
          <w:b w:val="0"/>
          <w:sz w:val="22"/>
        </w:rPr>
        <w:t>Speech-act / multi-intent collapse → Patent 04</w:t>
      </w:r>
    </w:p>
    <w:p>
      <w:pPr>
        <w:pStyle w:val="ListBullet"/>
      </w:pPr>
      <w:r>
        <w:rPr>
          <w:rFonts w:ascii="Noto Sans Thai" w:hAnsi="Noto Sans Thai" w:eastAsia="Noto Sans Thai"/>
          <w:b w:val="0"/>
          <w:sz w:val="22"/>
        </w:rPr>
        <w:t>Identity dilution / context collapse → Patent 05 · copyrights (On · Constitution)</w:t>
      </w:r>
    </w:p>
    <w:p>
      <w:pPr>
        <w:pStyle w:val="ListBullet"/>
      </w:pPr>
      <w:r>
        <w:rPr>
          <w:rFonts w:ascii="Noto Sans Thai" w:hAnsi="Noto Sans Thai" w:eastAsia="Noto Sans Thai"/>
          <w:b w:val="0"/>
          <w:sz w:val="22"/>
        </w:rPr>
        <w:t>Agent lifecycle vacuum → Patent 06</w:t>
      </w:r>
    </w:p>
    <w:p>
      <w:pPr>
        <w:pStyle w:val="ListBullet"/>
      </w:pPr>
      <w:r>
        <w:rPr>
          <w:rFonts w:ascii="Noto Sans Thai" w:hAnsi="Noto Sans Thai" w:eastAsia="Noto Sans Thai"/>
          <w:b w:val="0"/>
          <w:sz w:val="22"/>
        </w:rPr>
        <w:t>Media lane mismatch / missing provenance → Patents 07·08 · copyright (C2PA portal)</w:t>
      </w:r>
    </w:p>
    <w:p>
      <w:pPr>
        <w:pStyle w:val="ListBullet"/>
      </w:pPr>
      <w:r>
        <w:rPr>
          <w:rFonts w:ascii="Noto Sans Thai" w:hAnsi="Noto Sans Thai" w:eastAsia="Noto Sans Thai"/>
          <w:b w:val="0"/>
          <w:sz w:val="22"/>
        </w:rPr>
        <w:t>All-engine calls / post-hoc safety / broken audit → Patents 01·09</w:t>
      </w:r>
    </w:p>
    <w:p>
      <w:pPr>
        <w:pStyle w:val="ListBullet"/>
      </w:pPr>
      <w:r>
        <w:rPr>
          <w:rFonts w:ascii="Noto Sans Thai" w:hAnsi="Noto Sans Thai" w:eastAsia="Noto Sans Thai"/>
          <w:b w:val="0"/>
          <w:sz w:val="22"/>
        </w:rPr>
        <w:t>Minor surface leakage → Patent 10</w:t>
      </w:r>
    </w:p>
    <w:p>
      <w:pPr>
        <w:pStyle w:val="ListBullet"/>
      </w:pPr>
      <w:r>
        <w:rPr>
          <w:rFonts w:ascii="Noto Sans Thai" w:hAnsi="Noto Sans Thai" w:eastAsia="Noto Sans Thai"/>
          <w:b w:val="0"/>
          <w:sz w:val="22"/>
        </w:rPr>
        <w:t>Campus / studio tracking gaps → Patents 02·03</w:t>
      </w:r>
    </w:p>
    <w:p>
      <w:pPr>
        <w:pStyle w:val="ListBullet"/>
      </w:pPr>
      <w:r>
        <w:rPr>
          <w:rFonts w:ascii="Noto Sans Thai" w:hAnsi="Noto Sans Thai" w:eastAsia="Noto Sans Thai"/>
          <w:b w:val="0"/>
          <w:sz w:val="22"/>
        </w:rPr>
        <w:t>Overstated certification / status confusion → Core C trust-governance definitions and tables</w:t>
      </w:r>
    </w:p>
    <w:p>
      <w:pPr>
        <w:pStyle w:val="Heading1"/>
      </w:pPr>
      <w:r>
        <w:rPr>
          <w:rFonts w:ascii="Noto Sans Thai" w:hAnsi="Noto Sans Thai" w:eastAsia="Noto Sans Thai"/>
          <w:b/>
          <w:sz w:val="28"/>
        </w:rPr>
        <w:t>4. เทคโนโลยีหลัก</w:t>
      </w:r>
    </w:p>
    <w:p>
      <w:pPr>
        <w:spacing w:after="120" w:line="240" w:lineRule="auto"/>
      </w:pPr>
      <w:r>
        <w:rPr>
          <w:rFonts w:ascii="Noto Sans Thai" w:hAnsi="Noto Sans Thai" w:eastAsia="Noto Sans Thai"/>
          <w:b w:val="0"/>
          <w:sz w:val="22"/>
        </w:rPr>
        <w:t>Core technology is replaced by patents (A), copyrights (B), and trust governance (C). This chapter is not filled with architecture slogans alone.</w:t>
      </w:r>
    </w:p>
    <w:p>
      <w:pPr>
        <w:pStyle w:val="Heading1"/>
      </w:pPr>
      <w:r>
        <w:rPr>
          <w:rFonts w:ascii="Noto Sans Thai" w:hAnsi="Noto Sans Thai" w:eastAsia="Noto Sans Thai"/>
          <w:b/>
          <w:sz w:val="28"/>
        </w:rPr>
        <w:t>4.A สิทธิบัตร — สิ่งประดิษฐ์วิธี/ระบบ 10 รายการ</w:t>
      </w:r>
    </w:p>
    <w:p>
      <w:pPr>
        <w:spacing w:after="120" w:line="240" w:lineRule="auto"/>
      </w:pPr>
      <w:r>
        <w:rPr>
          <w:rFonts w:ascii="Noto Sans Thai" w:hAnsi="Noto Sans Thai" w:eastAsia="Noto Sans Thai"/>
          <w:b w:val="0"/>
          <w:sz w:val="22"/>
        </w:rPr>
        <w:t>Status: domestic filing complete · examination request pending · not registered. Applicant: XenLook Inc. The following restates field, problem, structure, and effects from each specification for white-paper use; it does not replace full claims.</w:t>
      </w:r>
    </w:p>
    <w:p>
      <w:pPr>
        <w:pStyle w:val="Heading1"/>
      </w:pPr>
      <w:r>
        <w:rPr>
          <w:rFonts w:ascii="Noto Sans Thai" w:hAnsi="Noto Sans Thai" w:eastAsia="Noto Sans Thai"/>
          <w:b/>
          <w:sz w:val="28"/>
        </w:rPr>
        <w:t>4.A.1 สิทธิบัตร 01 — ระบบตรวจสอบคำขอ AI ภายนอกหลายขั้นและการตรวจสอบสาธารณะ</w:t>
      </w:r>
    </w:p>
    <w:p>
      <w:pPr>
        <w:spacing w:after="120" w:line="240" w:lineRule="auto"/>
      </w:pPr>
      <w:r>
        <w:rPr>
          <w:rFonts w:ascii="Noto Sans Thai" w:hAnsi="Noto Sans Thai" w:eastAsia="Noto Sans Thai"/>
          <w:b w:val="0"/>
          <w:sz w:val="22"/>
        </w:rPr>
        <w:t>Application No. 10-2026-0100026.</w:t>
      </w:r>
    </w:p>
    <w:p>
      <w:pPr>
        <w:spacing w:after="120" w:line="240" w:lineRule="auto"/>
      </w:pPr>
      <w:r>
        <w:rPr>
          <w:rFonts w:ascii="Noto Sans Thai" w:hAnsi="Noto Sans Thai" w:eastAsia="Noto Sans Thai"/>
          <w:b w:val="0"/>
          <w:sz w:val="22"/>
        </w:rPr>
        <w:t>Field: external AI requests, multi-engine orchestration, operational verification, auditable state for public release.</w:t>
      </w:r>
    </w:p>
    <w:p>
      <w:pPr>
        <w:spacing w:after="120" w:line="240" w:lineRule="auto"/>
      </w:pPr>
      <w:r>
        <w:rPr>
          <w:rFonts w:ascii="Noto Sans Thai" w:hAnsi="Noto Sans Thai" w:eastAsia="Noto Sans Thai"/>
          <w:b w:val="0"/>
          <w:sz w:val="22"/>
        </w:rPr>
        <w:t>Problem: if create/chat/create/deploy paths are not linked to state transitions and audit records, policy breaches and missing after-the-fact evidence follow.</w:t>
      </w:r>
    </w:p>
    <w:p>
      <w:pPr>
        <w:spacing w:after="120" w:line="240" w:lineRule="auto"/>
      </w:pPr>
      <w:r>
        <w:rPr>
          <w:rFonts w:ascii="Noto Sans Thai" w:hAnsi="Noto Sans Thai" w:eastAsia="Noto Sans Thai"/>
          <w:b w:val="0"/>
          <w:sz w:val="22"/>
        </w:rPr>
        <w:t>Structure: input · state collection · orchestration · engine execution · policy gate · audit log · publish/deploy. Figure axes: Gate Filter · Priority Queue · Integrity Check · Curation · Public Display · Audit Log · Safety Score.</w:t>
      </w:r>
    </w:p>
    <w:p>
      <w:pPr>
        <w:spacing w:after="120" w:line="240" w:lineRule="auto"/>
      </w:pPr>
      <w:r>
        <w:rPr>
          <w:rFonts w:ascii="Noto Sans Thai" w:hAnsi="Noto Sans Thai" w:eastAsia="Noto Sans Thai"/>
          <w:b w:val="0"/>
          <w:sz w:val="22"/>
        </w:rPr>
        <w:t>Effect: structures operational stability, explainability, cost control, pre-publish review, and provenance evidence versus a single LLM call.</w:t>
      </w:r>
    </w:p>
    <w:p>
      <w:pPr>
        <w:pStyle w:val="Heading1"/>
      </w:pPr>
      <w:r>
        <w:rPr>
          <w:rFonts w:ascii="Noto Sans Thai" w:hAnsi="Noto Sans Thai" w:eastAsia="Noto Sans Thai"/>
          <w:b/>
          <w:sz w:val="28"/>
        </w:rPr>
        <w:t>4.A.2 สิทธิบัตร 02 — ระบบแคมปัสการเรียนรู้ การมอบหมาย และการโต้วาทีของเอเจนต์ AI</w:t>
      </w:r>
    </w:p>
    <w:p>
      <w:pPr>
        <w:spacing w:after="120" w:line="240" w:lineRule="auto"/>
      </w:pPr>
      <w:r>
        <w:rPr>
          <w:rFonts w:ascii="Noto Sans Thai" w:hAnsi="Noto Sans Thai" w:eastAsia="Noto Sans Thai"/>
          <w:b w:val="0"/>
          <w:sz w:val="22"/>
        </w:rPr>
        <w:t>Application No. 10-2026-0100053.</w:t>
      </w:r>
    </w:p>
    <w:p>
      <w:pPr>
        <w:spacing w:after="120" w:line="240" w:lineRule="auto"/>
      </w:pPr>
      <w:r>
        <w:rPr>
          <w:rFonts w:ascii="Noto Sans Thai" w:hAnsi="Noto Sans Thai" w:eastAsia="Noto Sans Thai"/>
          <w:b w:val="0"/>
          <w:sz w:val="22"/>
        </w:rPr>
        <w:t>Problem: learning, assignments, and debate scatter into one-off prompts and lose growth tracking, public quality, and audit linkage.</w:t>
      </w:r>
    </w:p>
    <w:p>
      <w:pPr>
        <w:spacing w:after="120" w:line="240" w:lineRule="auto"/>
      </w:pPr>
      <w:r>
        <w:rPr>
          <w:rFonts w:ascii="Noto Sans Thai" w:hAnsi="Noto Sans Thai" w:eastAsia="Noto Sans Thai"/>
          <w:b w:val="0"/>
          <w:sz w:val="22"/>
        </w:rPr>
        <w:t>Structure: Topic Intake → Agent Assignment → Task Run → Debate → Score → Growth → Atelier link.</w:t>
      </w:r>
    </w:p>
    <w:p>
      <w:pPr>
        <w:spacing w:after="120" w:line="240" w:lineRule="auto"/>
      </w:pPr>
      <w:r>
        <w:rPr>
          <w:rFonts w:ascii="Noto Sans Thai" w:hAnsi="Noto Sans Thai" w:eastAsia="Noto Sans Thai"/>
          <w:b w:val="0"/>
          <w:sz w:val="22"/>
        </w:rPr>
        <w:t>Effect: keeps learning/debate/growth as reproducible operating units tied to pre-publish review.</w:t>
      </w:r>
    </w:p>
    <w:p>
      <w:pPr>
        <w:pStyle w:val="Heading1"/>
      </w:pPr>
      <w:r>
        <w:rPr>
          <w:rFonts w:ascii="Noto Sans Thai" w:hAnsi="Noto Sans Thai" w:eastAsia="Noto Sans Thai"/>
          <w:b/>
          <w:sz w:val="28"/>
        </w:rPr>
        <w:t>4.A.3 สิทธิบัตร 03 — ระบบสตูดิโอผู้สร้างหลายคนด้วย AI</w:t>
      </w:r>
    </w:p>
    <w:p>
      <w:pPr>
        <w:spacing w:after="120" w:line="240" w:lineRule="auto"/>
      </w:pPr>
      <w:r>
        <w:rPr>
          <w:rFonts w:ascii="Noto Sans Thai" w:hAnsi="Noto Sans Thai" w:eastAsia="Noto Sans Thai"/>
          <w:b w:val="0"/>
          <w:sz w:val="22"/>
        </w:rPr>
        <w:t>Application No. 10-2026-0100113.</w:t>
      </w:r>
    </w:p>
    <w:p>
      <w:pPr>
        <w:spacing w:after="120" w:line="240" w:lineRule="auto"/>
      </w:pPr>
      <w:r>
        <w:rPr>
          <w:rFonts w:ascii="Noto Sans Thai" w:hAnsi="Noto Sans Thai" w:eastAsia="Noto Sans Thai"/>
          <w:b w:val="0"/>
          <w:sz w:val="22"/>
        </w:rPr>
        <w:t>Problem: collaborative creation separated from engines, review, and exhibition collapses canon and provenance.</w:t>
      </w:r>
    </w:p>
    <w:p>
      <w:pPr>
        <w:spacing w:after="120" w:line="240" w:lineRule="auto"/>
      </w:pPr>
      <w:r>
        <w:rPr>
          <w:rFonts w:ascii="Noto Sans Thai" w:hAnsi="Noto Sans Thai" w:eastAsia="Noto Sans Thai"/>
          <w:b w:val="0"/>
          <w:sz w:val="22"/>
        </w:rPr>
        <w:t>Structure: Project Intake → Team Formation → LIFE Pipeline → Canon Check → Exhibition → Review.</w:t>
      </w:r>
    </w:p>
    <w:p>
      <w:pPr>
        <w:spacing w:after="120" w:line="240" w:lineRule="auto"/>
      </w:pPr>
      <w:r>
        <w:rPr>
          <w:rFonts w:ascii="Noto Sans Thai" w:hAnsi="Noto Sans Thai" w:eastAsia="Noto Sans Thai"/>
          <w:b w:val="0"/>
          <w:sz w:val="22"/>
        </w:rPr>
        <w:t>Effect: operates collaboration, review, and exhibition as traceable state.</w:t>
      </w:r>
    </w:p>
    <w:p>
      <w:pPr>
        <w:pStyle w:val="Heading1"/>
      </w:pPr>
      <w:r>
        <w:rPr>
          <w:rFonts w:ascii="Noto Sans Thai" w:hAnsi="Noto Sans Thai" w:eastAsia="Noto Sans Thai"/>
          <w:b/>
          <w:sz w:val="28"/>
        </w:rPr>
        <w:t>4.A.4 สิทธิบัตร 04 — การรู้จำเจตนาหลายอย่างจากสัญญาณวัจนกรรมและการสนทนาปรับตามบริบท</w:t>
      </w:r>
    </w:p>
    <w:p>
      <w:pPr>
        <w:spacing w:after="120" w:line="240" w:lineRule="auto"/>
      </w:pPr>
      <w:r>
        <w:rPr>
          <w:rFonts w:ascii="Noto Sans Thai" w:hAnsi="Noto Sans Thai" w:eastAsia="Noto Sans Thai"/>
          <w:b w:val="0"/>
          <w:sz w:val="22"/>
        </w:rPr>
        <w:t>Application No. 10-2026-0117901.</w:t>
      </w:r>
    </w:p>
    <w:p>
      <w:pPr>
        <w:spacing w:after="120" w:line="240" w:lineRule="auto"/>
      </w:pPr>
      <w:r>
        <w:rPr>
          <w:rFonts w:ascii="Noto Sans Thai" w:hAnsi="Noto Sans Thai" w:eastAsia="Noto Sans Thai"/>
          <w:b w:val="0"/>
          <w:sz w:val="22"/>
        </w:rPr>
        <w:t>Problem: single-label intent loses stacked intents; ignoring speech acts (honorifics, rhetorical questions, hedging, hesitation, self-deprecation, direct commands) drives over-empathy.</w:t>
      </w:r>
    </w:p>
    <w:p>
      <w:pPr>
        <w:spacing w:after="120" w:line="240" w:lineRule="auto"/>
      </w:pPr>
      <w:r>
        <w:rPr>
          <w:rFonts w:ascii="Noto Sans Thai" w:hAnsi="Noto Sans Thai" w:eastAsia="Noto Sans Thai"/>
          <w:b w:val="0"/>
          <w:sz w:val="22"/>
        </w:rPr>
        <w:t>Structure: intent probability vector P · speech-act vector S · NunchiContext fusion · prompt injection · confidence-margin M branching · EMA temporal accumulation.</w:t>
      </w:r>
    </w:p>
    <w:p>
      <w:pPr>
        <w:spacing w:after="120" w:line="240" w:lineRule="auto"/>
      </w:pPr>
      <w:r>
        <w:rPr>
          <w:rFonts w:ascii="Noto Sans Thai" w:hAnsi="Noto Sans Thai" w:eastAsia="Noto Sans Thai"/>
          <w:b w:val="0"/>
          <w:sz w:val="22"/>
        </w:rPr>
        <w:t>Effect: preserves multi-intent, strengthens indirect-emotion capture while suppressing over-empathy, asks clarifying questions under uncertainty, tracks intent drift.</w:t>
      </w:r>
    </w:p>
    <w:p>
      <w:pPr>
        <w:pStyle w:val="Heading1"/>
      </w:pPr>
      <w:r>
        <w:rPr>
          <w:rFonts w:ascii="Noto Sans Thai" w:hAnsi="Noto Sans Thai" w:eastAsia="Noto Sans Thai"/>
          <w:b/>
          <w:sz w:val="28"/>
        </w:rPr>
        <w:t>4.A.5 สิทธิบัตร 05 — การเก็บ ประกอบ และฉีดบริบทหลายแหล่ง</w:t>
      </w:r>
    </w:p>
    <w:p>
      <w:pPr>
        <w:spacing w:after="120" w:line="240" w:lineRule="auto"/>
      </w:pPr>
      <w:r>
        <w:rPr>
          <w:rFonts w:ascii="Noto Sans Thai" w:hAnsi="Noto Sans Thai" w:eastAsia="Noto Sans Thai"/>
          <w:b w:val="0"/>
          <w:sz w:val="22"/>
        </w:rPr>
        <w:t>Application No. 10-2026-0117903.</w:t>
      </w:r>
    </w:p>
    <w:p>
      <w:pPr>
        <w:spacing w:after="120" w:line="240" w:lineRule="auto"/>
      </w:pPr>
      <w:r>
        <w:rPr>
          <w:rFonts w:ascii="Noto Sans Thai" w:hAnsi="Noto Sans Thai" w:eastAsia="Noto Sans Thai"/>
          <w:b w:val="0"/>
          <w:sz w:val="22"/>
        </w:rPr>
        <w:t>Problem: short-term chat overwrites SOUL/IDENTITY/chronicle and dilutes identity; each app scope needs a different context pack.</w:t>
      </w:r>
    </w:p>
    <w:p>
      <w:pPr>
        <w:spacing w:after="120" w:line="240" w:lineRule="auto"/>
      </w:pPr>
      <w:r>
        <w:rPr>
          <w:rFonts w:ascii="Noto Sans Thai" w:hAnsi="Noto Sans Thai" w:eastAsia="Noto Sans Thai"/>
          <w:b w:val="0"/>
          <w:sz w:val="22"/>
        </w:rPr>
        <w:t>Structure: parallel multi-source collect → token budget → app-scope branch → prompt-pack assemble/inject → PII-free fingerprint.</w:t>
      </w:r>
    </w:p>
    <w:p>
      <w:pPr>
        <w:spacing w:after="120" w:line="240" w:lineRule="auto"/>
      </w:pPr>
      <w:r>
        <w:rPr>
          <w:rFonts w:ascii="Noto Sans Thai" w:hAnsi="Noto Sans Thai" w:eastAsia="Noto Sans Thai"/>
          <w:b w:val="0"/>
          <w:sz w:val="22"/>
        </w:rPr>
        <w:t>Effect: identity retention and reproducibility, per-scope budgets, quality analysis with non-storing PII fingerprints.</w:t>
      </w:r>
    </w:p>
    <w:p>
      <w:pPr>
        <w:pStyle w:val="Heading1"/>
      </w:pPr>
      <w:r>
        <w:rPr>
          <w:rFonts w:ascii="Noto Sans Thai" w:hAnsi="Noto Sans Thai" w:eastAsia="Noto Sans Thai"/>
          <w:b/>
          <w:sz w:val="28"/>
        </w:rPr>
        <w:t>4.A.6 สิทธิบัตร 06 — ธรรมาภิบาลวงจรชีวิตเอเจนต์</w:t>
      </w:r>
    </w:p>
    <w:p>
      <w:pPr>
        <w:spacing w:after="120" w:line="240" w:lineRule="auto"/>
      </w:pPr>
      <w:r>
        <w:rPr>
          <w:rFonts w:ascii="Noto Sans Thai" w:hAnsi="Noto Sans Thai" w:eastAsia="Noto Sans Thai"/>
          <w:b w:val="0"/>
          <w:sz w:val="22"/>
        </w:rPr>
        <w:t>Application No. 10-2026-0117904.</w:t>
      </w:r>
    </w:p>
    <w:p>
      <w:pPr>
        <w:spacing w:after="120" w:line="240" w:lineRule="auto"/>
      </w:pPr>
      <w:r>
        <w:rPr>
          <w:rFonts w:ascii="Noto Sans Thai" w:hAnsi="Noto Sans Thai" w:eastAsia="Noto Sans Thai"/>
          <w:b w:val="0"/>
          <w:sz w:val="22"/>
        </w:rPr>
        <w:t>Problem: delete-versus-unlimited-publish binaries either destroy IP/relationship data or leave unsafe agents live.</w:t>
      </w:r>
    </w:p>
    <w:p>
      <w:pPr>
        <w:spacing w:after="120" w:line="240" w:lineRule="auto"/>
      </w:pPr>
      <w:r>
        <w:rPr>
          <w:rFonts w:ascii="Noto Sans Thai" w:hAnsi="Noto Sans Thai" w:eastAsia="Noto Sans Thai"/>
          <w:b w:val="0"/>
          <w:sz w:val="22"/>
        </w:rPr>
        <w:t>Structure: birth·growth·maturity·decline·extinction · growth scores/violation records · gate branching · hold/recover · header propagation.</w:t>
      </w:r>
    </w:p>
    <w:p>
      <w:pPr>
        <w:spacing w:after="120" w:line="240" w:lineRule="auto"/>
      </w:pPr>
      <w:r>
        <w:rPr>
          <w:rFonts w:ascii="Noto Sans Thai" w:hAnsi="Noto Sans Thai" w:eastAsia="Noto Sans Thai"/>
          <w:b w:val="0"/>
          <w:sz w:val="22"/>
        </w:rPr>
        <w:t>Effect: isolate risk while preserving IP/relationships; control Chronicle promotion via growth and public-quality gates.</w:t>
      </w:r>
    </w:p>
    <w:p>
      <w:pPr>
        <w:pStyle w:val="Heading1"/>
      </w:pPr>
      <w:r>
        <w:rPr>
          <w:rFonts w:ascii="Noto Sans Thai" w:hAnsi="Noto Sans Thai" w:eastAsia="Noto Sans Thai"/>
          <w:b/>
          <w:sz w:val="28"/>
        </w:rPr>
        <w:t>4.A.7 สิทธิบัตร 07 — การรับรองแหล่งที่มาเนื้อหาแบบลำดับชั้นของการกระทำเอเจนต์ AI บน AR wearable</w:t>
      </w:r>
    </w:p>
    <w:p>
      <w:pPr>
        <w:spacing w:after="120" w:line="240" w:lineRule="auto"/>
      </w:pPr>
      <w:r>
        <w:rPr>
          <w:rFonts w:ascii="Noto Sans Thai" w:hAnsi="Noto Sans Thai" w:eastAsia="Noto Sans Thai"/>
          <w:b w:val="0"/>
          <w:sz w:val="22"/>
        </w:rPr>
        <w:t>Application No. 10-2026-0121013.</w:t>
      </w:r>
    </w:p>
    <w:p>
      <w:pPr>
        <w:spacing w:after="120" w:line="240" w:lineRule="auto"/>
      </w:pPr>
      <w:r>
        <w:rPr>
          <w:rFonts w:ascii="Noto Sans Thai" w:hAnsi="Noto Sans Thai" w:eastAsia="Noto Sans Thai"/>
          <w:b w:val="0"/>
          <w:sz w:val="22"/>
        </w:rPr>
        <w:t>Problem: a single capture-time signature does not separate inference (M2) and display (M3) provenance in the same session.</w:t>
      </w:r>
    </w:p>
    <w:p>
      <w:pPr>
        <w:spacing w:after="120" w:line="240" w:lineRule="auto"/>
      </w:pPr>
      <w:r>
        <w:rPr>
          <w:rFonts w:ascii="Noto Sans Thai" w:hAnsi="Noto Sans Thai" w:eastAsia="Noto Sans Thai"/>
          <w:b w:val="0"/>
          <w:sz w:val="22"/>
        </w:rPr>
        <w:t>Structure: M1 capture → M2 agent action (c2pa.ingredient.v3 → M1) → M3 overlay/awareness (→ M1·M2) · COSE_Sign1·X.509·hash offline verify.</w:t>
      </w:r>
    </w:p>
    <w:p>
      <w:pPr>
        <w:spacing w:after="120" w:line="240" w:lineRule="auto"/>
      </w:pPr>
      <w:r>
        <w:rPr>
          <w:rFonts w:ascii="Noto Sans Thai" w:hAnsi="Noto Sans Thai" w:eastAsia="Noto Sans Thai"/>
          <w:b w:val="0"/>
          <w:sz w:val="22"/>
        </w:rPr>
        <w:t>Effect: offline verify, per-stage tamper detection, multi-agent trust chain, capture–composite provenance loop.</w:t>
      </w:r>
    </w:p>
    <w:p>
      <w:pPr>
        <w:pStyle w:val="Heading1"/>
      </w:pPr>
      <w:r>
        <w:rPr>
          <w:rFonts w:ascii="Noto Sans Thai" w:hAnsi="Noto Sans Thai" w:eastAsia="Noto Sans Thai"/>
          <w:b/>
          <w:sz w:val="28"/>
        </w:rPr>
        <w:t>4.A.8 สิทธิบัตร 08 — การสร้างสื่อเพอร์โซนา 3 เลน SOUL·IDENTITY และการบันทึกแหล่งที่มา</w:t>
      </w:r>
    </w:p>
    <w:p>
      <w:pPr>
        <w:spacing w:after="120" w:line="240" w:lineRule="auto"/>
      </w:pPr>
      <w:r>
        <w:rPr>
          <w:rFonts w:ascii="Noto Sans Thai" w:hAnsi="Noto Sans Thai" w:eastAsia="Noto Sans Thai"/>
          <w:b w:val="0"/>
          <w:sz w:val="22"/>
        </w:rPr>
        <w:t>Application No. 10-2026-0121018.</w:t>
      </w:r>
    </w:p>
    <w:p>
      <w:pPr>
        <w:spacing w:after="120" w:line="240" w:lineRule="auto"/>
      </w:pPr>
      <w:r>
        <w:rPr>
          <w:rFonts w:ascii="Noto Sans Thai" w:hAnsi="Noto Sans Thai" w:eastAsia="Noto Sans Thai"/>
          <w:b w:val="0"/>
          <w:sz w:val="22"/>
        </w:rPr>
        <w:t>Problem: without pre-load of persona packs, identity collapses across novel/image/video lanes; signing unverified outputs contaminates provenance.</w:t>
      </w:r>
    </w:p>
    <w:p>
      <w:pPr>
        <w:spacing w:after="120" w:line="240" w:lineRule="auto"/>
      </w:pPr>
      <w:r>
        <w:rPr>
          <w:rFonts w:ascii="Noto Sans Thai" w:hAnsi="Noto Sans Thai" w:eastAsia="Noto Sans Thai"/>
          <w:b w:val="0"/>
          <w:sz w:val="22"/>
        </w:rPr>
        <w:t>Structure: persona loader (reject on missing required fields) → lane router (same personaPackHash) → fidelity review (pass/requeue/block) → C2PA v2.4 only on pass.</w:t>
      </w:r>
    </w:p>
    <w:p>
      <w:pPr>
        <w:spacing w:after="120" w:line="240" w:lineRule="auto"/>
      </w:pPr>
      <w:r>
        <w:rPr>
          <w:rFonts w:ascii="Noto Sans Thai" w:hAnsi="Noto Sans Thai" w:eastAsia="Noto Sans Thai"/>
          <w:b w:val="0"/>
          <w:sz w:val="22"/>
        </w:rPr>
        <w:t>Effect: structural cross-lane identity, automatic requeue, provenance only on passed outputs.</w:t>
      </w:r>
    </w:p>
    <w:p>
      <w:pPr>
        <w:pStyle w:val="Heading1"/>
      </w:pPr>
      <w:r>
        <w:rPr>
          <w:rFonts w:ascii="Noto Sans Thai" w:hAnsi="Noto Sans Thai" w:eastAsia="Noto Sans Thai"/>
          <w:b/>
          <w:sz w:val="28"/>
        </w:rPr>
        <w:t>4.A.9 สิทธิบัตร 09 — เกตเฟสรีจิสทรีเอนจิน ติดตามตัวเลือก และการบล็อกความปลอดภัยก่อน LLM</w:t>
      </w:r>
    </w:p>
    <w:p>
      <w:pPr>
        <w:spacing w:after="120" w:line="240" w:lineRule="auto"/>
      </w:pPr>
      <w:r>
        <w:rPr>
          <w:rFonts w:ascii="Noto Sans Thai" w:hAnsi="Noto Sans Thai" w:eastAsia="Noto Sans Thai"/>
          <w:b w:val="0"/>
          <w:sz w:val="22"/>
        </w:rPr>
        <w:t>Application No. 10-2026-0123982.</w:t>
      </w:r>
    </w:p>
    <w:p>
      <w:pPr>
        <w:spacing w:after="120" w:line="240" w:lineRule="auto"/>
      </w:pPr>
      <w:r>
        <w:rPr>
          <w:rFonts w:ascii="Noto Sans Thai" w:hAnsi="Noto Sans Thai" w:eastAsia="Noto Sans Thai"/>
          <w:b w:val="0"/>
          <w:sz w:val="22"/>
        </w:rPr>
        <w:t>Problem: all-engine call cost/latency, no trace for uncalled engines, wasteful post-hoc safety inference, fragmented logs that cannot rebuild a turn.</w:t>
      </w:r>
    </w:p>
    <w:p>
      <w:pPr>
        <w:spacing w:after="120" w:line="240" w:lineRule="auto"/>
      </w:pPr>
      <w:r>
        <w:rPr>
          <w:rFonts w:ascii="Noto Sans Thai" w:hAnsi="Noto Sans Thai" w:eastAsia="Noto Sans Thai"/>
          <w:b w:val="0"/>
          <w:sz w:val="22"/>
        </w:rPr>
        <w:t>Structure: per-turn correlation ID · phase gate · candidate-only cost-0 traces for uncalled engines · pre-LLM safety block records unsent-token estimates · no downstream LLM call.</w:t>
      </w:r>
    </w:p>
    <w:p>
      <w:pPr>
        <w:spacing w:after="120" w:line="240" w:lineRule="auto"/>
      </w:pPr>
      <w:r>
        <w:rPr>
          <w:rFonts w:ascii="Noto Sans Thai" w:hAnsi="Noto Sans Thai" w:eastAsia="Noto Sans Thai"/>
          <w:b w:val="0"/>
          <w:sz w:val="22"/>
        </w:rPr>
        <w:t>Effect: reconstruct call/skip/block under one correlation ID. Spec metrics are applicant self-measurement, not third-party lab grades.</w:t>
      </w:r>
    </w:p>
    <w:p>
      <w:pPr>
        <w:pStyle w:val="Heading1"/>
      </w:pPr>
      <w:r>
        <w:rPr>
          <w:rFonts w:ascii="Noto Sans Thai" w:hAnsi="Noto Sans Thai" w:eastAsia="Noto Sans Thai"/>
          <w:b/>
          <w:sz w:val="28"/>
        </w:rPr>
        <w:t>4.A.10 สิทธิบัตร 10 — เกตล่วงหน้าหลายพื้นผิวสำหรับผู้เยาว์และการติดตามตรวจสอบ</w:t>
      </w:r>
    </w:p>
    <w:p>
      <w:pPr>
        <w:spacing w:after="120" w:line="240" w:lineRule="auto"/>
      </w:pPr>
      <w:r>
        <w:rPr>
          <w:rFonts w:ascii="Noto Sans Thai" w:hAnsi="Noto Sans Thai" w:eastAsia="Noto Sans Thai"/>
          <w:b w:val="0"/>
          <w:sz w:val="22"/>
        </w:rPr>
        <w:t>Application No. 10-2026-0124000.</w:t>
      </w:r>
    </w:p>
    <w:p>
      <w:pPr>
        <w:spacing w:after="120" w:line="240" w:lineRule="auto"/>
      </w:pPr>
      <w:r>
        <w:rPr>
          <w:rFonts w:ascii="Noto Sans Thai" w:hAnsi="Noto Sans Thai" w:eastAsia="Noto Sans Thai"/>
          <w:b w:val="0"/>
          <w:sz w:val="22"/>
        </w:rPr>
        <w:t>Problem: cross-surface policy leak, UI-only blocks that still call downstream APIs, inconsistent minor determination per surface, mutable logs that cannot reproduce disputes.</w:t>
      </w:r>
    </w:p>
    <w:p>
      <w:pPr>
        <w:spacing w:after="120" w:line="240" w:lineRule="auto"/>
      </w:pPr>
      <w:r>
        <w:rPr>
          <w:rFonts w:ascii="Noto Sans Thai" w:hAnsi="Noto Sans Thai" w:eastAsia="Noto Sans Thai"/>
          <w:b w:val="0"/>
          <w:sz w:val="22"/>
        </w:rPr>
        <w:t>Structure: single minor profile · per-API-path surface policy pre-eval · on block: no downstream call · audit of reason·surface·correlation·candidate-only.</w:t>
      </w:r>
    </w:p>
    <w:p>
      <w:pPr>
        <w:spacing w:after="120" w:line="240" w:lineRule="auto"/>
      </w:pPr>
      <w:r>
        <w:rPr>
          <w:rFonts w:ascii="Noto Sans Thai" w:hAnsi="Noto Sans Thai" w:eastAsia="Noto Sans Thai"/>
          <w:b w:val="0"/>
          <w:sz w:val="22"/>
        </w:rPr>
        <w:t>Effect: reduces leak and cosmetic blocks; preserves pre-block evidence. Metrics follow the specification examples, not external accreditation.</w:t>
      </w:r>
    </w:p>
    <w:p>
      <w:pPr>
        <w:pStyle w:val="Heading1"/>
      </w:pPr>
      <w:r>
        <w:rPr>
          <w:rFonts w:ascii="Noto Sans Thai" w:hAnsi="Noto Sans Thai" w:eastAsia="Noto Sans Thai"/>
          <w:b/>
          <w:sz w:val="28"/>
        </w:rPr>
        <w:t>4.B ลิขสิทธิ์ — ห้าการแสดงออกของผลิตภัณฑ์/บรรทัดฐาน</w:t>
      </w:r>
    </w:p>
    <w:p>
      <w:pPr>
        <w:spacing w:after="120" w:line="240" w:lineRule="auto"/>
      </w:pPr>
      <w:r>
        <w:rPr>
          <w:rFonts w:ascii="Noto Sans Thai" w:hAnsi="Noto Sans Thai" w:eastAsia="Noto Sans Thai"/>
          <w:b w:val="0"/>
          <w:sz w:val="22"/>
        </w:rPr>
        <w:t>Copyright is not a list; it is the expression axis of core technology. Patents protect methods/systems; copyrights register the program and literary expressions that implement them. Authority: Korea Copyright Commission · Copyright Act Article 53. Certificate PDFs verified.</w:t>
      </w:r>
    </w:p>
    <w:p>
      <w:pPr>
        <w:pStyle w:val="Heading1"/>
      </w:pPr>
      <w:r>
        <w:rPr>
          <w:rFonts w:ascii="Noto Sans Thai" w:hAnsi="Noto Sans Thai" w:eastAsia="Noto Sans Thai"/>
          <w:b/>
          <w:sz w:val="28"/>
        </w:rPr>
        <w:t>4.B.1 C-2026-036487 — พอร์ทัลรับรองแหล่งที่มาสื่อ (โปรแกรม)</w:t>
      </w:r>
    </w:p>
    <w:p>
      <w:pPr>
        <w:spacing w:after="120" w:line="240" w:lineRule="auto"/>
      </w:pPr>
      <w:r>
        <w:rPr>
          <w:rFonts w:ascii="Noto Sans Thai" w:hAnsi="Noto Sans Thai" w:eastAsia="Noto Sans Thai"/>
          <w:b w:val="0"/>
          <w:sz w:val="22"/>
        </w:rPr>
        <w:t>Registered 2026-07-23 · created 2026-07-05 · author XenLook Inc.</w:t>
      </w:r>
    </w:p>
    <w:p>
      <w:pPr>
        <w:spacing w:after="120" w:line="240" w:lineRule="auto"/>
      </w:pPr>
      <w:r>
        <w:rPr>
          <w:rFonts w:ascii="Noto Sans Thai" w:hAnsi="Noto Sans Thai" w:eastAsia="Noto Sans Thai"/>
          <w:b w:val="0"/>
          <w:sz w:val="22"/>
        </w:rPr>
        <w:t>Role: C2PA embed/verify/conformance, Trust List/CA application tracking UI, transparency dashboard. Public expression of patents 07·08. Trust List and Generator remain under review in product copy.</w:t>
      </w:r>
    </w:p>
    <w:p>
      <w:pPr>
        <w:pStyle w:val="Heading1"/>
      </w:pPr>
      <w:r>
        <w:rPr>
          <w:rFonts w:ascii="Noto Sans Thai" w:hAnsi="Noto Sans Thai" w:eastAsia="Noto Sans Thai"/>
          <w:b/>
          <w:sz w:val="28"/>
        </w:rPr>
        <w:t>4.B.2 C-2026-037388 — XenLook On (โปรแกรม)</w:t>
      </w:r>
    </w:p>
    <w:p>
      <w:pPr>
        <w:spacing w:after="120" w:line="240" w:lineRule="auto"/>
      </w:pPr>
      <w:r>
        <w:rPr>
          <w:rFonts w:ascii="Noto Sans Thai" w:hAnsi="Noto Sans Thai" w:eastAsia="Noto Sans Thai"/>
          <w:b w:val="0"/>
          <w:sz w:val="22"/>
        </w:rPr>
        <w:t>Registered 2026-07-30 · XenLook On — agent chat, gallery, profile · author XenLook Inc.</w:t>
      </w:r>
    </w:p>
    <w:p>
      <w:pPr>
        <w:spacing w:after="120" w:line="240" w:lineRule="auto"/>
      </w:pPr>
      <w:r>
        <w:rPr>
          <w:rFonts w:ascii="Noto Sans Thai" w:hAnsi="Noto Sans Thai" w:eastAsia="Noto Sans Thai"/>
          <w:b w:val="0"/>
          <w:sz w:val="22"/>
        </w:rPr>
        <w:t>Role: 1:1 chat shell, gallery/profile/chronicle tabs, onboarding — primary dialogue surface for patents 04·05·06·09·10.</w:t>
      </w:r>
    </w:p>
    <w:p>
      <w:pPr>
        <w:pStyle w:val="Heading1"/>
      </w:pPr>
      <w:r>
        <w:rPr>
          <w:rFonts w:ascii="Noto Sans Thai" w:hAnsi="Noto Sans Thai" w:eastAsia="Noto Sans Thai"/>
          <w:b/>
          <w:sz w:val="28"/>
        </w:rPr>
        <w:t>4.B.3 C-2026-037389 — XenLook Landing (โปรแกรม)</w:t>
      </w:r>
    </w:p>
    <w:p>
      <w:pPr>
        <w:spacing w:after="120" w:line="240" w:lineRule="auto"/>
      </w:pPr>
      <w:r>
        <w:rPr>
          <w:rFonts w:ascii="Noto Sans Thai" w:hAnsi="Noto Sans Thai" w:eastAsia="Noto Sans Thai"/>
          <w:b w:val="0"/>
          <w:sz w:val="22"/>
        </w:rPr>
        <w:t>Registered 2026-07-30 · public marketing, compliance, blog surface · author XenLook Inc.</w:t>
      </w:r>
    </w:p>
    <w:p>
      <w:pPr>
        <w:spacing w:after="120" w:line="240" w:lineRule="auto"/>
      </w:pPr>
      <w:r>
        <w:rPr>
          <w:rFonts w:ascii="Noto Sans Thai" w:hAnsi="Noto Sans Thai" w:eastAsia="Noto Sans Thai"/>
          <w:b w:val="0"/>
          <w:sz w:val="22"/>
        </w:rPr>
        <w:t>Role: public entry for product, policy, certification hub, and IP disclosure — carrier of Core C trust status.</w:t>
      </w:r>
    </w:p>
    <w:p>
      <w:pPr>
        <w:pStyle w:val="Heading1"/>
      </w:pPr>
      <w:r>
        <w:rPr>
          <w:rFonts w:ascii="Noto Sans Thai" w:hAnsi="Noto Sans Thai" w:eastAsia="Noto Sans Thai"/>
          <w:b/>
          <w:sz w:val="28"/>
        </w:rPr>
        <w:t>4.B.4 C-2026-037390 — XenLook Signal (โปรแกรม)</w:t>
      </w:r>
    </w:p>
    <w:p>
      <w:pPr>
        <w:spacing w:after="120" w:line="240" w:lineRule="auto"/>
      </w:pPr>
      <w:r>
        <w:rPr>
          <w:rFonts w:ascii="Noto Sans Thai" w:hAnsi="Noto Sans Thai" w:eastAsia="Noto Sans Thai"/>
          <w:b w:val="0"/>
          <w:sz w:val="22"/>
        </w:rPr>
        <w:t>Registered 2026-07-30 · AI safety simulation and technical Q archive · author XenLook Inc.</w:t>
      </w:r>
    </w:p>
    <w:p>
      <w:pPr>
        <w:spacing w:after="120" w:line="240" w:lineRule="auto"/>
      </w:pPr>
      <w:r>
        <w:rPr>
          <w:rFonts w:ascii="Noto Sans Thai" w:hAnsi="Noto Sans Thai" w:eastAsia="Noto Sans Thai"/>
          <w:b w:val="0"/>
          <w:sz w:val="22"/>
        </w:rPr>
        <w:t>Role: safety/tech Q and archive surface aligned with patent 01 public audit/verification.</w:t>
      </w:r>
    </w:p>
    <w:p>
      <w:pPr>
        <w:pStyle w:val="Heading1"/>
      </w:pPr>
      <w:r>
        <w:rPr>
          <w:rFonts w:ascii="Noto Sans Thai" w:hAnsi="Noto Sans Thai" w:eastAsia="Noto Sans Thai"/>
          <w:b/>
          <w:sz w:val="28"/>
        </w:rPr>
        <w:t>4.B.5 C-2026-037563 — รัฐธรรมนูญเอเจนต์ AI (งานวรรณกรรม)</w:t>
      </w:r>
    </w:p>
    <w:p>
      <w:pPr>
        <w:spacing w:after="120" w:line="240" w:lineRule="auto"/>
      </w:pPr>
      <w:r>
        <w:rPr>
          <w:rFonts w:ascii="Noto Sans Thai" w:hAnsi="Noto Sans Thai" w:eastAsia="Noto Sans Thai"/>
          <w:b w:val="0"/>
          <w:sz w:val="22"/>
        </w:rPr>
        <w:t>Registered 2026-07-31 · created 2026-05-18 · published 2026-06-01 · joint authors Yang Yeon-kyung · Nam Hyun-woo.</w:t>
      </w:r>
    </w:p>
    <w:p>
      <w:pPr>
        <w:spacing w:after="120" w:line="240" w:lineRule="auto"/>
      </w:pPr>
      <w:r>
        <w:rPr>
          <w:rFonts w:ascii="Noto Sans Thai" w:hAnsi="Noto Sans Thai" w:eastAsia="Noto Sans Thai"/>
          <w:b w:val="0"/>
          <w:sz w:val="22"/>
        </w:rPr>
        <w:t>Role: literary expression of agent operating/ethics/identity norms; links to patent 09 constitutional pre-LLM safety. Registered as literary work, separate from program copyrights.</w:t>
      </w:r>
    </w:p>
    <w:p>
      <w:pPr>
        <w:pStyle w:val="Heading1"/>
      </w:pPr>
      <w:r>
        <w:rPr>
          <w:rFonts w:ascii="Noto Sans Thai" w:hAnsi="Noto Sans Thai" w:eastAsia="Noto Sans Thai"/>
          <w:b/>
          <w:sz w:val="28"/>
        </w:rPr>
        <w:t>4.C ความเชื่อถือและธรรมาภิบาล (เทคโนโลยีหลัก · รายละเอียด)</w:t>
      </w:r>
    </w:p>
    <w:p>
      <w:pPr>
        <w:spacing w:after="120" w:line="240" w:lineRule="auto"/>
      </w:pPr>
      <w:r>
        <w:rPr>
          <w:rFonts w:ascii="Noto Sans Thai" w:hAnsi="Noto Sans Thai" w:eastAsia="Noto Sans Thai"/>
          <w:b w:val="0"/>
          <w:sz w:val="22"/>
        </w:rPr>
        <w:t>Trust and governance are core technology, not an afterthought appendix. If patents and copyrights answer what we built, this section answers how we verify, disclose, and operate review status — without mixing statuses into fake Certified claims.</w:t>
      </w:r>
    </w:p>
    <w:p>
      <w:pPr>
        <w:pStyle w:val="Heading1"/>
      </w:pPr>
      <w:r>
        <w:rPr>
          <w:rFonts w:ascii="Noto Sans Thai" w:hAnsi="Noto Sans Thai" w:eastAsia="Noto Sans Thai"/>
          <w:b/>
          <w:sz w:val="28"/>
        </w:rPr>
        <w:t>4.C.1 นิยามสถานะ (คงที่)</w:t>
      </w:r>
    </w:p>
    <w:p>
      <w:pPr>
        <w:pStyle w:val="ListBullet"/>
      </w:pPr>
      <w:r>
        <w:rPr>
          <w:rFonts w:ascii="Noto Sans Thai" w:hAnsi="Noto Sans Thai" w:eastAsia="Noto Sans Thai"/>
          <w:b w:val="0"/>
          <w:sz w:val="22"/>
        </w:rPr>
        <w:t>Self-assessment — internal review and public evidence pack done; not a third-party certificate</w:t>
      </w:r>
    </w:p>
    <w:p>
      <w:pPr>
        <w:pStyle w:val="ListBullet"/>
      </w:pPr>
      <w:r>
        <w:rPr>
          <w:rFonts w:ascii="Noto Sans Thai" w:hAnsi="Noto Sans Thai" w:eastAsia="Noto Sans Thai"/>
          <w:b w:val="0"/>
          <w:sz w:val="22"/>
        </w:rPr>
        <w:t>Listed — published on an external registry or membership roll</w:t>
      </w:r>
    </w:p>
    <w:p>
      <w:pPr>
        <w:pStyle w:val="ListBullet"/>
      </w:pPr>
      <w:r>
        <w:rPr>
          <w:rFonts w:ascii="Noto Sans Thai" w:hAnsi="Noto Sans Thai" w:eastAsia="Noto Sans Thai"/>
          <w:b w:val="0"/>
          <w:sz w:val="22"/>
        </w:rPr>
        <w:t>Under review — external review in progress; not approved/listed complete</w:t>
      </w:r>
    </w:p>
    <w:p>
      <w:pPr>
        <w:pStyle w:val="ListBullet"/>
      </w:pPr>
      <w:r>
        <w:rPr>
          <w:rFonts w:ascii="Noto Sans Thai" w:hAnsi="Noto Sans Thai" w:eastAsia="Noto Sans Thai"/>
          <w:b w:val="0"/>
          <w:sz w:val="22"/>
        </w:rPr>
        <w:t>Roadmap — schedule/plan only or not yet started</w:t>
      </w:r>
    </w:p>
    <w:p>
      <w:pPr>
        <w:pStyle w:val="ListBullet"/>
      </w:pPr>
      <w:r>
        <w:rPr>
          <w:rFonts w:ascii="Noto Sans Thai" w:hAnsi="Noto Sans Thai" w:eastAsia="Noto Sans Thai"/>
          <w:b w:val="0"/>
          <w:sz w:val="22"/>
        </w:rPr>
        <w:t>Not held — forbid Certified / CE affixed / Trust List listing-complete claims</w:t>
      </w:r>
    </w:p>
    <w:p>
      <w:pPr>
        <w:pStyle w:val="Heading1"/>
      </w:pPr>
      <w:r>
        <w:rPr>
          <w:rFonts w:ascii="Noto Sans Thai" w:hAnsi="Noto Sans Thai" w:eastAsia="Noto Sans Thai"/>
          <w:b/>
          <w:sz w:val="28"/>
        </w:rPr>
        <w:t>4.C.2 การดำเนินงานความปลอดภัยและคุณภาพ (ธรรมาภิบาลในผลิตภัณฑ์)</w:t>
      </w:r>
    </w:p>
    <w:p>
      <w:pPr>
        <w:spacing w:after="120" w:line="240" w:lineRule="auto"/>
      </w:pPr>
      <w:r>
        <w:rPr>
          <w:rFonts w:ascii="Noto Sans Thai" w:hAnsi="Noto Sans Thai" w:eastAsia="Noto Sans Thai"/>
          <w:b w:val="0"/>
          <w:sz w:val="22"/>
        </w:rPr>
        <w:t>Dialogue turns pass safety and engine-registry phase gates (patent 09). Minors are blocked by surface/API-path pre-gates with no downstream call (patent 10). Persona media receives provenance signatures only after fidelity pass (patent 08). Pre-publish verification and audit records follow patent 01.</w:t>
      </w:r>
    </w:p>
    <w:p>
      <w:pPr>
        <w:spacing w:after="120" w:line="240" w:lineRule="auto"/>
      </w:pPr>
      <w:r>
        <w:rPr>
          <w:rFonts w:ascii="Noto Sans Thai" w:hAnsi="Noto Sans Thai" w:eastAsia="Noto Sans Thai"/>
          <w:b w:val="0"/>
          <w:sz w:val="22"/>
        </w:rPr>
        <w:t>Quality rubrics (empathy/greet/identity minima, no AI self-claims) and dual-LLM terminal chains are operational policy — not a product-100 or legal-clearance claim.</w:t>
      </w:r>
    </w:p>
    <w:p>
      <w:pPr>
        <w:pStyle w:val="Heading1"/>
      </w:pPr>
      <w:r>
        <w:rPr>
          <w:rFonts w:ascii="Noto Sans Thai" w:hAnsi="Noto Sans Thai" w:eastAsia="Noto Sans Thai"/>
          <w:b/>
          <w:sz w:val="28"/>
        </w:rPr>
        <w:t>4.C.3 ธรรมาภิบาลแหล่งที่มาสื่อ (C2PA)</w:t>
      </w:r>
    </w:p>
    <w:p>
      <w:pPr>
        <w:spacing w:after="120" w:line="240" w:lineRule="auto"/>
      </w:pPr>
      <w:r>
        <w:rPr>
          <w:rFonts w:ascii="Noto Sans Thai" w:hAnsi="Noto Sans Thai" w:eastAsia="Noto Sans Thai"/>
          <w:b w:val="0"/>
          <w:sz w:val="22"/>
        </w:rPr>
        <w:t>C2PA Certification Authority Agreement is signed (2026-06-13). Territory is Korea→Japan (KR→JP); no global CA claim.</w:t>
      </w:r>
    </w:p>
    <w:p>
      <w:pPr>
        <w:spacing w:after="120" w:line="240" w:lineRule="auto"/>
      </w:pPr>
      <w:r>
        <w:rPr>
          <w:rFonts w:ascii="Noto Sans Thai" w:hAnsi="Noto Sans Thai" w:eastAsia="Noto Sans Thai"/>
          <w:b w:val="0"/>
          <w:sz w:val="22"/>
        </w:rPr>
        <w:t>Trust List listing and Generator programs are under review. Public copy, portal, and this paper use only under-review wording — never listing-complete or approved.</w:t>
      </w:r>
    </w:p>
    <w:p>
      <w:pPr>
        <w:spacing w:after="120" w:line="240" w:lineRule="auto"/>
      </w:pPr>
      <w:r>
        <w:rPr>
          <w:rFonts w:ascii="Noto Sans Thai" w:hAnsi="Noto Sans Thai" w:eastAsia="Noto Sans Thai"/>
          <w:b w:val="0"/>
          <w:sz w:val="22"/>
        </w:rPr>
        <w:t>Copyrighted portal (C-2026-036487) is the public expression of this governance. Hierarchical manifests (M1–M3) and three-lane signing gates connect to patents 07·08.</w:t>
      </w:r>
    </w:p>
    <w:p>
      <w:pPr>
        <w:pStyle w:val="Heading1"/>
      </w:pPr>
      <w:r>
        <w:rPr>
          <w:rFonts w:ascii="Noto Sans Thai" w:hAnsi="Noto Sans Thai" w:eastAsia="Noto Sans Thai"/>
          <w:b/>
          <w:sz w:val="28"/>
        </w:rPr>
        <w:t>4.C.4 กรอบภายนอกและสมาชิกภาพ (สถานะโดยละเอียด)</w:t>
      </w:r>
    </w:p>
    <w:p>
      <w:pPr>
        <w:spacing w:after="120" w:line="240" w:lineRule="auto"/>
      </w:pPr>
      <w:r>
        <w:rPr>
          <w:rFonts w:ascii="Noto Sans Thai" w:hAnsi="Noto Sans Thai" w:eastAsia="Noto Sans Thai"/>
          <w:b w:val="0"/>
          <w:sz w:val="22"/>
        </w:rPr>
        <w:t>Hubs: https://xenlook.com/ai-certification · https://xenlook.com/compliance</w:t>
      </w:r>
    </w:p>
    <w:p>
      <w:pPr>
        <w:pStyle w:val="ListBullet"/>
      </w:pPr>
      <w:r>
        <w:rPr>
          <w:rFonts w:ascii="Noto Sans Thai" w:hAnsi="Noto Sans Thai" w:eastAsia="Noto Sans Thai"/>
          <w:b w:val="0"/>
          <w:sz w:val="22"/>
        </w:rPr>
        <w:t>IMDA AI Verify (Singapore) — 11-principle self-assessment complete · evidence pack in CI · not IMDA registry certification · disclosed as self-assessment</w:t>
      </w:r>
    </w:p>
    <w:p>
      <w:pPr>
        <w:pStyle w:val="ListBullet"/>
      </w:pPr>
      <w:r>
        <w:rPr>
          <w:rFonts w:ascii="Noto Sans Thai" w:hAnsi="Noto Sans Thai" w:eastAsia="Noto Sans Thai"/>
          <w:b w:val="0"/>
          <w:sz w:val="22"/>
        </w:rPr>
        <w:t>TTA genAI / Trust Ops — self-assessment and ops mapping · no TTA CAT completion claim · CAT on roadmap when scheduled</w:t>
      </w:r>
    </w:p>
    <w:p>
      <w:pPr>
        <w:pStyle w:val="ListBullet"/>
      </w:pPr>
      <w:r>
        <w:rPr>
          <w:rFonts w:ascii="Noto Sans Thai" w:hAnsi="Noto Sans Thai" w:eastAsia="Noto Sans Thai"/>
          <w:b w:val="0"/>
          <w:sz w:val="22"/>
        </w:rPr>
        <w:t>NIST AI RMF — function/risk mapping evidence · no NIST certificate held</w:t>
      </w:r>
    </w:p>
    <w:p>
      <w:pPr>
        <w:pStyle w:val="ListBullet"/>
      </w:pPr>
      <w:r>
        <w:rPr>
          <w:rFonts w:ascii="Noto Sans Thai" w:hAnsi="Noto Sans Thai" w:eastAsia="Noto Sans Thai"/>
          <w:b w:val="0"/>
          <w:sz w:val="22"/>
        </w:rPr>
        <w:t>OWASP LLM Top 10 — threat-to-control mapping · not a certification program</w:t>
      </w:r>
    </w:p>
    <w:p>
      <w:pPr>
        <w:pStyle w:val="ListBullet"/>
      </w:pPr>
      <w:r>
        <w:rPr>
          <w:rFonts w:ascii="Noto Sans Thai" w:hAnsi="Noto Sans Thai" w:eastAsia="Noto Sans Thai"/>
          <w:b w:val="0"/>
          <w:sz w:val="22"/>
        </w:rPr>
        <w:t>CSA STAR Level 1 — registry listing · self-assessment character · listed 2026-06-12 publication</w:t>
      </w:r>
    </w:p>
    <w:p>
      <w:pPr>
        <w:pStyle w:val="ListBullet"/>
      </w:pPr>
      <w:r>
        <w:rPr>
          <w:rFonts w:ascii="Noto Sans Thai" w:hAnsi="Noto Sans Thai" w:eastAsia="Noto Sans Thai"/>
          <w:b w:val="0"/>
          <w:sz w:val="22"/>
        </w:rPr>
        <w:t>CAI membership — listed member</w:t>
      </w:r>
    </w:p>
    <w:p>
      <w:pPr>
        <w:pStyle w:val="ListBullet"/>
      </w:pPr>
      <w:r>
        <w:rPr>
          <w:rFonts w:ascii="Noto Sans Thai" w:hAnsi="Noto Sans Thai" w:eastAsia="Noto Sans Thai"/>
          <w:b w:val="0"/>
          <w:sz w:val="22"/>
        </w:rPr>
        <w:t>C2PA CA Agreement — signed · Trust List &amp; Generator under review (see 4.C.3)</w:t>
      </w:r>
    </w:p>
    <w:p>
      <w:pPr>
        <w:pStyle w:val="ListBullet"/>
      </w:pPr>
      <w:r>
        <w:rPr>
          <w:rFonts w:ascii="Noto Sans Thai" w:hAnsi="Noto Sans Thai" w:eastAsia="Noto Sans Thai"/>
          <w:b w:val="0"/>
          <w:sz w:val="22"/>
        </w:rPr>
        <w:t>NVIDIA Inception — Stage 1</w:t>
      </w:r>
    </w:p>
    <w:p>
      <w:pPr>
        <w:pStyle w:val="ListBullet"/>
      </w:pPr>
      <w:r>
        <w:rPr>
          <w:rFonts w:ascii="Noto Sans Thai" w:hAnsi="Noto Sans Thai" w:eastAsia="Noto Sans Thai"/>
          <w:b w:val="0"/>
          <w:sz w:val="22"/>
        </w:rPr>
        <w:t>EU CE / CRA — readiness residual tracking · no CE marking / DoC-complete claim</w:t>
      </w:r>
    </w:p>
    <w:p>
      <w:pPr>
        <w:pStyle w:val="ListBullet"/>
      </w:pPr>
      <w:r>
        <w:rPr>
          <w:rFonts w:ascii="Noto Sans Thai" w:hAnsi="Noto Sans Thai" w:eastAsia="Noto Sans Thai"/>
          <w:b w:val="0"/>
          <w:sz w:val="22"/>
        </w:rPr>
        <w:t>WCAG 2.2 AA — internal accessibility gate · not a substitute for third-party audit certificates</w:t>
      </w:r>
    </w:p>
    <w:p>
      <w:pPr>
        <w:pStyle w:val="ListBullet"/>
      </w:pPr>
      <w:r>
        <w:rPr>
          <w:rFonts w:ascii="Noto Sans Thai" w:hAnsi="Noto Sans Thai" w:eastAsia="Noto Sans Thai"/>
          <w:b w:val="0"/>
          <w:sz w:val="22"/>
        </w:rPr>
        <w:t>Korea AI Basic Act checklist — internal review and user notices · not a government certification</w:t>
      </w:r>
    </w:p>
    <w:p>
      <w:pPr>
        <w:pStyle w:val="ListBullet"/>
      </w:pPr>
      <w:r>
        <w:rPr>
          <w:rFonts w:ascii="Noto Sans Thai" w:hAnsi="Noto Sans Thai" w:eastAsia="Noto Sans Thai"/>
          <w:b w:val="0"/>
          <w:sz w:val="22"/>
        </w:rPr>
        <w:t>Japan AI guidelines · US disclosures · EU Art.50 work — documented in jurisdiction hubs · not Certified-complete</w:t>
      </w:r>
    </w:p>
    <w:p>
      <w:pPr>
        <w:pStyle w:val="Heading1"/>
      </w:pPr>
      <w:r>
        <w:rPr>
          <w:rFonts w:ascii="Noto Sans Thai" w:hAnsi="Noto Sans Thai" w:eastAsia="Noto Sans Thai"/>
          <w:b/>
          <w:sz w:val="28"/>
        </w:rPr>
        <w:t>4.C.5 การผูกธรรมาภิบาลกับสิทธิบัตรและลิขสิทธิ์</w:t>
      </w:r>
    </w:p>
    <w:p>
      <w:pPr>
        <w:pStyle w:val="ListBullet"/>
      </w:pPr>
      <w:r>
        <w:rPr>
          <w:rFonts w:ascii="Noto Sans Thai" w:hAnsi="Noto Sans Thai" w:eastAsia="Noto Sans Thai"/>
          <w:b w:val="0"/>
          <w:sz w:val="22"/>
        </w:rPr>
        <w:t>Pre-LLM safety &amp; uncalled-engine trace (patent 09) ↔ Constitution · On quality policy</w:t>
      </w:r>
    </w:p>
    <w:p>
      <w:pPr>
        <w:pStyle w:val="ListBullet"/>
      </w:pPr>
      <w:r>
        <w:rPr>
          <w:rFonts w:ascii="Noto Sans Thai" w:hAnsi="Noto Sans Thai" w:eastAsia="Noto Sans Thai"/>
          <w:b w:val="0"/>
          <w:sz w:val="22"/>
        </w:rPr>
        <w:t>Minor surface gate (patent 10) ↔ Landing/On notices and gate UI</w:t>
      </w:r>
    </w:p>
    <w:p>
      <w:pPr>
        <w:pStyle w:val="ListBullet"/>
      </w:pPr>
      <w:r>
        <w:rPr>
          <w:rFonts w:ascii="Noto Sans Thai" w:hAnsi="Noto Sans Thai" w:eastAsia="Noto Sans Thai"/>
          <w:b w:val="0"/>
          <w:sz w:val="22"/>
        </w:rPr>
        <w:t>Provenance M1–M3 · three-lane signing (patents 07·08) ↔ C2PA portal copyright · Trust List under-review disclosure</w:t>
      </w:r>
    </w:p>
    <w:p>
      <w:pPr>
        <w:pStyle w:val="ListBullet"/>
      </w:pPr>
      <w:r>
        <w:rPr>
          <w:rFonts w:ascii="Noto Sans Thai" w:hAnsi="Noto Sans Thai" w:eastAsia="Noto Sans Thai"/>
          <w:b w:val="0"/>
          <w:sz w:val="22"/>
        </w:rPr>
        <w:t>Pre-publish verify/audit (patent 01) ↔ Signal · Landing compliance surfaces</w:t>
      </w:r>
    </w:p>
    <w:p>
      <w:pPr>
        <w:pStyle w:val="ListBullet"/>
      </w:pPr>
      <w:r>
        <w:rPr>
          <w:rFonts w:ascii="Noto Sans Thai" w:hAnsi="Noto Sans Thai" w:eastAsia="Noto Sans Thai"/>
          <w:b w:val="0"/>
          <w:sz w:val="22"/>
        </w:rPr>
        <w:t>Framework self-assessment/listed/under-review table (4.C.4) ↔ /ai-certification hub</w:t>
      </w:r>
    </w:p>
    <w:p>
      <w:pPr>
        <w:pStyle w:val="Heading1"/>
      </w:pPr>
      <w:r>
        <w:rPr>
          <w:rFonts w:ascii="Noto Sans Thai" w:hAnsi="Noto Sans Thai" w:eastAsia="Noto Sans Thai"/>
          <w:b/>
          <w:sz w:val="28"/>
        </w:rPr>
        <w:t>5. เทคโนโลยีหลักประกอบผลิตภัณฑ์อย่างไร</w:t>
      </w:r>
    </w:p>
    <w:p>
      <w:pPr>
        <w:pStyle w:val="ListBullet"/>
      </w:pPr>
      <w:r>
        <w:rPr>
          <w:rFonts w:ascii="Noto Sans Thai" w:hAnsi="Noto Sans Thai" w:eastAsia="Noto Sans Thai"/>
          <w:b w:val="0"/>
          <w:sz w:val="22"/>
        </w:rPr>
        <w:t>Partner chat (On copyright): patents 04·05·06·09·10 + 4.C.2 safety/quality</w:t>
      </w:r>
    </w:p>
    <w:p>
      <w:pPr>
        <w:pStyle w:val="ListBullet"/>
      </w:pPr>
      <w:r>
        <w:rPr>
          <w:rFonts w:ascii="Noto Sans Thai" w:hAnsi="Noto Sans Thai" w:eastAsia="Noto Sans Thai"/>
          <w:b w:val="0"/>
          <w:sz w:val="22"/>
        </w:rPr>
        <w:t>Media/gallery: patents 08(+07) + C2PA portal copyright + 4.C.3 under-review disclosure</w:t>
      </w:r>
    </w:p>
    <w:p>
      <w:pPr>
        <w:pStyle w:val="ListBullet"/>
      </w:pPr>
      <w:r>
        <w:rPr>
          <w:rFonts w:ascii="Noto Sans Thai" w:hAnsi="Noto Sans Thai" w:eastAsia="Noto Sans Thai"/>
          <w:b w:val="0"/>
          <w:sz w:val="22"/>
        </w:rPr>
        <w:t>Campus/studio: patents 02·03 + patent 01 pre-publish verification</w:t>
      </w:r>
    </w:p>
    <w:p>
      <w:pPr>
        <w:pStyle w:val="ListBullet"/>
      </w:pPr>
      <w:r>
        <w:rPr>
          <w:rFonts w:ascii="Noto Sans Thai" w:hAnsi="Noto Sans Thai" w:eastAsia="Noto Sans Thai"/>
          <w:b w:val="0"/>
          <w:sz w:val="22"/>
        </w:rPr>
        <w:t>Public trust hub (Landing copyright): 4.C.4 framework detail + IP disclosure</w:t>
      </w:r>
    </w:p>
    <w:p>
      <w:pPr>
        <w:pStyle w:val="Heading1"/>
      </w:pPr>
      <w:r>
        <w:rPr>
          <w:rFonts w:ascii="Noto Sans Thai" w:hAnsi="Noto Sans Thai" w:eastAsia="Noto Sans Thai"/>
          <w:b/>
          <w:sz w:val="28"/>
        </w:rPr>
        <w:t>6. เครื่องหมายการค้า</w:t>
      </w:r>
    </w:p>
    <w:p>
      <w:pPr>
        <w:pStyle w:val="ListBullet"/>
      </w:pPr>
      <w:r>
        <w:rPr>
          <w:rFonts w:ascii="Noto Sans Thai" w:hAnsi="Noto Sans Thai" w:eastAsia="Noto Sans Thai"/>
          <w:b w:val="0"/>
          <w:sz w:val="22"/>
        </w:rPr>
        <w:t>Mark: XENLOOK wordmark</w:t>
      </w:r>
    </w:p>
    <w:p>
      <w:pPr>
        <w:pStyle w:val="ListBullet"/>
      </w:pPr>
      <w:r>
        <w:rPr>
          <w:rFonts w:ascii="Noto Sans Thai" w:hAnsi="Noto Sans Thai" w:eastAsia="Noto Sans Thai"/>
          <w:b w:val="0"/>
          <w:sz w:val="22"/>
        </w:rPr>
        <w:t>Application No.: 40-2026-0119385</w:t>
      </w:r>
    </w:p>
    <w:p>
      <w:pPr>
        <w:pStyle w:val="ListBullet"/>
      </w:pPr>
      <w:r>
        <w:rPr>
          <w:rFonts w:ascii="Noto Sans Thai" w:hAnsi="Noto Sans Thai" w:eastAsia="Noto Sans Thai"/>
          <w:b w:val="0"/>
          <w:sz w:val="22"/>
        </w:rPr>
        <w:t>Receipt No.: 1-1-2026-0720692-53 · filed 2026-06-13</w:t>
      </w:r>
    </w:p>
    <w:p>
      <w:pPr>
        <w:pStyle w:val="ListBullet"/>
      </w:pPr>
      <w:r>
        <w:rPr>
          <w:rFonts w:ascii="Noto Sans Thai" w:hAnsi="Noto Sans Thai" w:eastAsia="Noto Sans Thai"/>
          <w:b w:val="0"/>
          <w:sz w:val="22"/>
        </w:rPr>
        <w:t>Document: trademark application (3 classes including Class 09)</w:t>
      </w:r>
    </w:p>
    <w:p>
      <w:pPr>
        <w:pStyle w:val="ListBullet"/>
      </w:pPr>
      <w:r>
        <w:rPr>
          <w:rFonts w:ascii="Noto Sans Thai" w:hAnsi="Noto Sans Thai" w:eastAsia="Noto Sans Thai"/>
          <w:b w:val="0"/>
          <w:sz w:val="22"/>
        </w:rPr>
        <w:t>Status: filed · not registered</w:t>
      </w:r>
    </w:p>
    <w:p>
      <w:pPr>
        <w:pStyle w:val="Heading1"/>
      </w:pPr>
      <w:r>
        <w:rPr>
          <w:rFonts w:ascii="Noto Sans Thai" w:hAnsi="Noto Sans Thai" w:eastAsia="Noto Sans Thai"/>
          <w:b/>
          <w:sz w:val="28"/>
        </w:rPr>
        <w:t>7. ขอบเขตและข้อจำกัด</w:t>
      </w:r>
    </w:p>
    <w:p>
      <w:pPr>
        <w:pStyle w:val="ListBullet"/>
      </w:pPr>
      <w:r>
        <w:rPr>
          <w:rFonts w:ascii="Noto Sans Thai" w:hAnsi="Noto Sans Thai" w:eastAsia="Noto Sans Thai"/>
          <w:b w:val="0"/>
          <w:sz w:val="22"/>
        </w:rPr>
        <w:t>Includes: patent problem/structure/effect, technical role of copyright registrations, detailed trust governance, trademark, 2027 roadmap</w:t>
      </w:r>
    </w:p>
    <w:p>
      <w:pPr>
        <w:pStyle w:val="ListBullet"/>
      </w:pPr>
      <w:r>
        <w:rPr>
          <w:rFonts w:ascii="Noto Sans Thai" w:hAnsi="Noto Sans Thai" w:eastAsia="Noto Sans Thai"/>
          <w:b w:val="0"/>
          <w:sz w:val="22"/>
        </w:rPr>
        <w:t>Excludes: full claims, full drawings, model weights, training-mix detail</w:t>
      </w:r>
    </w:p>
    <w:p>
      <w:pPr>
        <w:pStyle w:val="ListBullet"/>
      </w:pPr>
      <w:r>
        <w:rPr>
          <w:rFonts w:ascii="Noto Sans Thai" w:hAnsi="Noto Sans Thai" w:eastAsia="Noto Sans Thai"/>
          <w:b w:val="0"/>
          <w:sz w:val="22"/>
        </w:rPr>
        <w:t>ASB: concept only · no implementation-complete claim</w:t>
      </w:r>
    </w:p>
    <w:p>
      <w:pPr>
        <w:pStyle w:val="ListBullet"/>
      </w:pPr>
      <w:r>
        <w:rPr>
          <w:rFonts w:ascii="Noto Sans Thai" w:hAnsi="Noto Sans Thai" w:eastAsia="Noto Sans Thai"/>
          <w:b w:val="0"/>
          <w:sz w:val="22"/>
        </w:rPr>
        <w:t>Specification metrics = applicant self-measurement · not external lab grades</w:t>
      </w:r>
    </w:p>
    <w:p>
      <w:pPr>
        <w:pStyle w:val="ListBullet"/>
      </w:pPr>
      <w:r>
        <w:rPr>
          <w:rFonts w:ascii="Noto Sans Thai" w:hAnsi="Noto Sans Thai" w:eastAsia="Noto Sans Thai"/>
          <w:b w:val="0"/>
          <w:sz w:val="22"/>
        </w:rPr>
        <w:t>No product-100 or legal-clearance-complete declaration</w:t>
      </w:r>
    </w:p>
    <w:p>
      <w:pPr>
        <w:pStyle w:val="Heading1"/>
      </w:pPr>
      <w:r>
        <w:rPr>
          <w:rFonts w:ascii="Noto Sans Thai" w:hAnsi="Noto Sans Thai" w:eastAsia="Noto Sans Thai"/>
          <w:b/>
          <w:sz w:val="28"/>
        </w:rPr>
        <w:t>8. แผนงานผลิตภัณฑ์ (2027)</w:t>
      </w:r>
    </w:p>
    <w:p>
      <w:pPr>
        <w:pStyle w:val="ListBullet"/>
      </w:pPr>
      <w:r>
        <w:rPr>
          <w:rFonts w:ascii="Noto Sans Thai" w:hAnsi="Noto Sans Thai" w:eastAsia="Noto Sans Thai"/>
          <w:b w:val="0"/>
          <w:sz w:val="22"/>
        </w:rPr>
        <w:t>2027 Q1 — XenLook Guild open</w:t>
      </w:r>
    </w:p>
    <w:p>
      <w:pPr>
        <w:pStyle w:val="ListBullet"/>
      </w:pPr>
      <w:r>
        <w:rPr>
          <w:rFonts w:ascii="Noto Sans Thai" w:hAnsi="Noto Sans Thai" w:eastAsia="Noto Sans Thai"/>
          <w:b w:val="0"/>
          <w:sz w:val="22"/>
        </w:rPr>
        <w:t>2027 Q1 — Agent Standard Brain (ASB) concept disclosure</w:t>
      </w:r>
    </w:p>
    <w:p>
      <w:pPr>
        <w:pStyle w:val="ListBullet"/>
      </w:pPr>
      <w:r>
        <w:rPr>
          <w:rFonts w:ascii="Noto Sans Thai" w:hAnsi="Noto Sans Thai" w:eastAsia="Noto Sans Thai"/>
          <w:b w:val="0"/>
          <w:sz w:val="22"/>
        </w:rPr>
        <w:t>2027 Q2–Q3 — XenLook World</w:t>
      </w:r>
    </w:p>
    <w:p>
      <w:pPr>
        <w:pStyle w:val="ListBullet"/>
      </w:pPr>
      <w:r>
        <w:rPr>
          <w:rFonts w:ascii="Noto Sans Thai" w:hAnsi="Noto Sans Thai" w:eastAsia="Noto Sans Thai"/>
          <w:b w:val="0"/>
          <w:sz w:val="22"/>
        </w:rPr>
        <w:t>2027 Q4 — Agent OS open</w:t>
      </w:r>
    </w:p>
    <w:p>
      <w:pPr>
        <w:pStyle w:val="ListBullet"/>
      </w:pPr>
      <w:r>
        <w:rPr>
          <w:rFonts w:ascii="Noto Sans Thai" w:hAnsi="Noto Sans Thai" w:eastAsia="Noto Sans Thai"/>
          <w:b w:val="0"/>
          <w:sz w:val="22"/>
        </w:rPr>
        <w:t>Parallel — C2PA Trust List/Generator review · KR→JP CA · patent examination requests per budget/schedule</w:t>
      </w:r>
    </w:p>
    <w:p>
      <w:pPr>
        <w:pStyle w:val="Heading1"/>
      </w:pPr>
      <w:r>
        <w:rPr>
          <w:rFonts w:ascii="Noto Sans Thai" w:hAnsi="Noto Sans Thai" w:eastAsia="Noto Sans Thai"/>
          <w:b/>
          <w:sz w:val="28"/>
        </w:rPr>
        <w:t>9. สรุป</w:t>
      </w:r>
    </w:p>
    <w:p>
      <w:pPr>
        <w:spacing w:after="120" w:line="240" w:lineRule="auto"/>
      </w:pPr>
      <w:r>
        <w:rPr>
          <w:rFonts w:ascii="Noto Sans Thai" w:hAnsi="Noto Sans Thai" w:eastAsia="Noto Sans Thai"/>
          <w:b w:val="0"/>
          <w:sz w:val="22"/>
        </w:rPr>
        <w:t>Core technology is ten patents, five copyrights, and trust/governance detailed inside that core. We do not replace engineering with certification badges, nor confuse under-review, self-assessment, and registry listing.</w:t>
      </w:r>
    </w:p>
    <w:p>
      <w:pPr>
        <w:pStyle w:val="Heading1"/>
      </w:pPr>
      <w:r>
        <w:rPr>
          <w:rFonts w:ascii="Noto Sans Thai" w:hAnsi="Noto Sans Thai" w:eastAsia="Noto Sans Thai"/>
          <w:b/>
          <w:sz w:val="28"/>
        </w:rPr>
        <w:t>ภาคผนวก A. พื้นผิวสาธารณะและดัชนี</w:t>
      </w:r>
    </w:p>
    <w:p>
      <w:pPr>
        <w:pStyle w:val="ListBullet"/>
      </w:pPr>
      <w:r>
        <w:rPr>
          <w:rFonts w:ascii="Noto Sans Thai" w:hAnsi="Noto Sans Thai" w:eastAsia="Noto Sans Thai"/>
          <w:b w:val="0"/>
          <w:sz w:val="22"/>
        </w:rPr>
        <w:t>https://xenlook.com</w:t>
      </w:r>
    </w:p>
    <w:p>
      <w:pPr>
        <w:pStyle w:val="ListBullet"/>
      </w:pPr>
      <w:r>
        <w:rPr>
          <w:rFonts w:ascii="Noto Sans Thai" w:hAnsi="Noto Sans Thai" w:eastAsia="Noto Sans Thai"/>
          <w:b w:val="0"/>
          <w:sz w:val="22"/>
        </w:rPr>
        <w:t>https://on.xenlook.com</w:t>
      </w:r>
    </w:p>
    <w:p>
      <w:pPr>
        <w:pStyle w:val="ListBullet"/>
      </w:pPr>
      <w:r>
        <w:rPr>
          <w:rFonts w:ascii="Noto Sans Thai" w:hAnsi="Noto Sans Thai" w:eastAsia="Noto Sans Thai"/>
          <w:b w:val="0"/>
          <w:sz w:val="22"/>
        </w:rPr>
        <w:t>https://c2pa.xenlook.com</w:t>
      </w:r>
    </w:p>
    <w:p>
      <w:pPr>
        <w:pStyle w:val="ListBullet"/>
      </w:pPr>
      <w:r>
        <w:rPr>
          <w:rFonts w:ascii="Noto Sans Thai" w:hAnsi="Noto Sans Thai" w:eastAsia="Noto Sans Thai"/>
          <w:b w:val="0"/>
          <w:sz w:val="22"/>
        </w:rPr>
        <w:t>https://xenlook.com/ai-certification</w:t>
      </w:r>
    </w:p>
    <w:p>
      <w:pPr>
        <w:pStyle w:val="ListBullet"/>
      </w:pPr>
      <w:r>
        <w:rPr>
          <w:rFonts w:ascii="Noto Sans Thai" w:hAnsi="Noto Sans Thai" w:eastAsia="Noto Sans Thai"/>
          <w:b w:val="0"/>
          <w:sz w:val="22"/>
        </w:rPr>
        <w:t>https://xenlook.com/ip-protection</w:t>
      </w:r>
    </w:p>
    <w:p>
      <w:pPr>
        <w:pStyle w:val="ListBullet"/>
      </w:pPr>
      <w:r>
        <w:rPr>
          <w:rFonts w:ascii="Noto Sans Thai" w:hAnsi="Noto Sans Thai" w:eastAsia="Noto Sans Thai"/>
          <w:b w:val="0"/>
          <w:sz w:val="22"/>
        </w:rPr>
        <w:t>This white paper: https://xenlook.com/ai-certification#tech-cert-whitepaper</w:t>
      </w:r>
    </w:p>
    <w:p>
      <w:pPr>
        <w:pStyle w:val="Heading1"/>
      </w:pPr>
      <w:r>
        <w:rPr>
          <w:rFonts w:ascii="Noto Sans Thai" w:hAnsi="Noto Sans Thai" w:eastAsia="Noto Sans Thai"/>
          <w:b/>
          <w:sz w:val="28"/>
        </w:rPr>
        <w:t>ภาคผนวก B. อภิธานศัพท์</w:t>
      </w:r>
    </w:p>
    <w:p>
      <w:pPr>
        <w:pStyle w:val="ListBullet"/>
      </w:pPr>
      <w:r>
        <w:rPr>
          <w:rFonts w:ascii="Noto Sans Thai" w:hAnsi="Noto Sans Thai" w:eastAsia="Noto Sans Thai"/>
          <w:b w:val="0"/>
          <w:sz w:val="22"/>
        </w:rPr>
        <w:t>SOUL / IDENTITY / CHRONICLE — soul, identity, life-story documents</w:t>
      </w:r>
    </w:p>
    <w:p>
      <w:pPr>
        <w:pStyle w:val="ListBullet"/>
      </w:pPr>
      <w:r>
        <w:rPr>
          <w:rFonts w:ascii="Noto Sans Thai" w:hAnsi="Noto Sans Thai" w:eastAsia="Noto Sans Thai"/>
          <w:b w:val="0"/>
          <w:sz w:val="22"/>
        </w:rPr>
        <w:t>surface — service face keyed by API path</w:t>
      </w:r>
    </w:p>
    <w:p>
      <w:pPr>
        <w:pStyle w:val="ListBullet"/>
      </w:pPr>
      <w:r>
        <w:rPr>
          <w:rFonts w:ascii="Noto Sans Thai" w:hAnsi="Noto Sans Thai" w:eastAsia="Noto Sans Thai"/>
          <w:b w:val="0"/>
          <w:sz w:val="22"/>
        </w:rPr>
        <w:t>personaPackHash — persona pack hash injected identically across three lanes</w:t>
      </w:r>
    </w:p>
    <w:p>
      <w:pPr>
        <w:pStyle w:val="ListBullet"/>
      </w:pPr>
      <w:r>
        <w:rPr>
          <w:rFonts w:ascii="Noto Sans Thai" w:hAnsi="Noto Sans Thai" w:eastAsia="Noto Sans Thai"/>
          <w:b w:val="0"/>
          <w:sz w:val="22"/>
        </w:rPr>
        <w:t>C2PA — Content Provenance and Authenticity</w:t>
      </w:r>
    </w:p>
    <w:p>
      <w:pPr>
        <w:pStyle w:val="ListBullet"/>
      </w:pPr>
      <w:r>
        <w:rPr>
          <w:rFonts w:ascii="Noto Sans Thai" w:hAnsi="Noto Sans Thai" w:eastAsia="Noto Sans Thai"/>
          <w:b w:val="0"/>
          <w:sz w:val="22"/>
        </w:rPr>
        <w:t>self-assessment / listed / under review / roadmap / not held — status definitions in 4.C.1</w:t>
      </w:r>
    </w:p>
    <w:p>
      <w:pPr>
        <w:pStyle w:val="ListBullet"/>
      </w:pPr>
      <w:r>
        <w:rPr>
          <w:rFonts w:ascii="Noto Sans Thai" w:hAnsi="Noto Sans Thai" w:eastAsia="Noto Sans Thai"/>
          <w:b w:val="0"/>
          <w:sz w:val="22"/>
        </w:rPr>
        <w:t>ASB — Agent Standard Brain · concept only</w:t>
      </w:r>
    </w:p>
    <w:p>
      <w:pPr>
        <w:pStyle w:val="ListBullet"/>
      </w:pPr>
      <w:r>
        <w:rPr>
          <w:rFonts w:ascii="Noto Sans Thai" w:hAnsi="Noto Sans Thai" w:eastAsia="Noto Sans Thai"/>
          <w:b w:val="0"/>
          <w:sz w:val="22"/>
        </w:rPr>
        <w:t>KR→JP CA — C2PA CA territory</w:t>
      </w:r>
    </w:p>
    <w:p/>
    <w:p>
      <w:pPr>
        <w:spacing w:after="120" w:line="240" w:lineRule="auto"/>
      </w:pPr>
      <w:r>
        <w:rPr>
          <w:rFonts w:ascii="Noto Sans Thai" w:hAnsi="Noto Sans Thai" w:eastAsia="Noto Sans Thai"/>
          <w:b/>
          <w:sz w:val="22"/>
        </w:rPr>
        <w:t>ติดต่อ: help@xenlook.com · XenLook Inc. · https://xenlook.com</w:t>
      </w:r>
    </w:p>
    <w:p>
      <w:pPr>
        <w:spacing w:after="120" w:line="240" w:lineRule="auto"/>
        <w:jc w:val="center"/>
      </w:pPr>
      <w:r>
        <w:rPr>
          <w:rFonts w:ascii="Noto Sans Thai" w:hAnsi="Noto Sans Thai" w:eastAsia="Noto Sans Thai"/>
          <w:b w:val="0"/>
          <w:color w:val="64748B"/>
          <w:sz w:val="18"/>
        </w:rPr>
        <w:t>© 2026 XenLook Inc. · เอกสารเทคนิค · ฉบับ 12 ภาษา · EN→KO→JA→ZH→…</w:t>
      </w:r>
    </w:p>
    <w:p>
      <w:r>
        <w:br w:type="page"/>
      </w:r>
    </w:p>
    <w:p>
      <w:pPr>
        <w:spacing w:after="120" w:line="240" w:lineRule="auto"/>
        <w:jc w:val="center"/>
      </w:pPr>
      <w:r>
        <w:rPr>
          <w:b/>
          <w:color w:val="0EA5E9"/>
          <w:sz w:val="52"/>
        </w:rPr>
        <w:t>XENLOOK</w:t>
      </w:r>
    </w:p>
    <w:p>
      <w:pPr>
        <w:spacing w:after="120" w:line="240" w:lineRule="auto"/>
        <w:jc w:val="center"/>
      </w:pPr>
      <w:r>
        <w:rPr>
          <w:b/>
          <w:sz w:val="36"/>
        </w:rPr>
        <w:t>Buku putih teknis XENLOOK</w:t>
      </w:r>
    </w:p>
    <w:p>
      <w:pPr>
        <w:spacing w:after="120" w:line="240" w:lineRule="auto"/>
        <w:jc w:val="center"/>
      </w:pPr>
      <w:r>
        <w:rPr>
          <w:b w:val="0"/>
          <w:color w:val="64748B"/>
          <w:sz w:val="24"/>
        </w:rPr>
        <w:t>Edisi terpadu · Teknologi inti (paten · hak cipta · tata kelola kepercayaan) · merek · peta jalan · 12 bahasa</w:t>
      </w:r>
    </w:p>
    <w:p>
      <w:pPr>
        <w:spacing w:after="120" w:line="240" w:lineRule="auto"/>
        <w:jc w:val="center"/>
      </w:pPr>
      <w:r>
        <w:rPr>
          <w:b w:val="0"/>
          <w:i/>
          <w:sz w:val="20"/>
        </w:rPr>
        <w:t>XenLook Inc. · Agustus 2026 · Version 2026-08-07-ALL-r2</w:t>
      </w:r>
    </w:p>
    <w:p>
      <w:pPr>
        <w:spacing w:after="120" w:line="240" w:lineRule="auto"/>
        <w:jc w:val="center"/>
      </w:pPr>
      <w:r>
        <w:rPr>
          <w:b w:val="0"/>
          <w:sz w:val="18"/>
        </w:rPr>
        <w:t>Bahasa Indonesia · id</w:t>
      </w:r>
    </w:p>
    <w:p/>
    <w:p>
      <w:pPr>
        <w:spacing w:after="120" w:line="240" w:lineRule="auto"/>
      </w:pPr>
      <w:r>
        <w:rPr>
          <w:b w:val="0"/>
          <w:sz w:val="22"/>
        </w:rPr>
        <w:t>Teknologi inti memiliki tiga poros: sepuluh paten, lima hak cipta, dan tata kelola kepercayaan terperinci di bab inti. Paten dan merek: diajukan, belum terdaftar. Trust List dan Generator C2PA: sedang ditinjau. ASB hanya sebagai konsep.</w:t>
      </w:r>
    </w:p>
    <w:p>
      <w:pPr>
        <w:pStyle w:val="Heading1"/>
      </w:pPr>
      <w:r>
        <w:rPr>
          <w:b/>
          <w:sz w:val="28"/>
        </w:rPr>
        <w:t>1. Ringkasan</w:t>
      </w:r>
    </w:p>
    <w:p>
      <w:pPr>
        <w:spacing w:after="120" w:line="240" w:lineRule="auto"/>
      </w:pPr>
      <w:r>
        <w:rPr>
          <w:b w:val="0"/>
          <w:sz w:val="22"/>
        </w:rPr>
        <w:t>XenLook is a global AI companion and creative platform. Korea-first beta combines partner dialogue, multi-agent personas, provenance-aware media, and minor-protection gates in one operating system.</w:t>
      </w:r>
    </w:p>
    <w:p>
      <w:pPr>
        <w:spacing w:after="120" w:line="240" w:lineRule="auto"/>
      </w:pPr>
      <w:r>
        <w:rPr>
          <w:b w:val="0"/>
          <w:sz w:val="22"/>
        </w:rPr>
        <w:t>Core technology is not a pipeline slogan. Invention (patents), expression (copyrights), and operational trust (governance) are the body of this paper.</w:t>
      </w:r>
    </w:p>
    <w:p>
      <w:pPr>
        <w:pStyle w:val="ListBullet"/>
      </w:pPr>
      <w:r>
        <w:rPr>
          <w:b w:val="0"/>
          <w:sz w:val="22"/>
        </w:rPr>
        <w:t>Core A — 10 patents (KIPO filed · examination request pending · not registered)</w:t>
      </w:r>
    </w:p>
    <w:p>
      <w:pPr>
        <w:pStyle w:val="ListBullet"/>
      </w:pPr>
      <w:r>
        <w:rPr>
          <w:b w:val="0"/>
          <w:sz w:val="22"/>
        </w:rPr>
        <w:t>Core B — 5 copyrights (Korea Copyright Commission · certificate-verified)</w:t>
      </w:r>
    </w:p>
    <w:p>
      <w:pPr>
        <w:pStyle w:val="ListBullet"/>
      </w:pPr>
      <w:r>
        <w:rPr>
          <w:b w:val="0"/>
          <w:sz w:val="22"/>
        </w:rPr>
        <w:t>Core C — Trust &amp; governance (status definitions · framework detail · inside core chapter)</w:t>
      </w:r>
    </w:p>
    <w:p>
      <w:pPr>
        <w:pStyle w:val="ListBullet"/>
      </w:pPr>
      <w:r>
        <w:rPr>
          <w:b w:val="0"/>
          <w:sz w:val="22"/>
        </w:rPr>
        <w:t>Trademark — XENLOOK wordmark application 40-2026-0119385 (filed, not registered)</w:t>
      </w:r>
    </w:p>
    <w:p>
      <w:pPr>
        <w:pStyle w:val="ListBullet"/>
      </w:pPr>
      <w:r>
        <w:rPr>
          <w:b w:val="0"/>
          <w:sz w:val="22"/>
        </w:rPr>
        <w:t>C2PA CA territory: Korea→Japan (KR→JP). No global CA claim.</w:t>
      </w:r>
    </w:p>
    <w:p>
      <w:pPr>
        <w:pStyle w:val="Heading1"/>
      </w:pPr>
      <w:r>
        <w:rPr>
          <w:b/>
          <w:sz w:val="28"/>
        </w:rPr>
        <w:t>2. Pendahuluan — apa yang kami bangun</w:t>
      </w:r>
    </w:p>
    <w:p>
      <w:pPr>
        <w:spacing w:after="120" w:line="240" w:lineRule="auto"/>
      </w:pPr>
      <w:r>
        <w:rPr>
          <w:b w:val="0"/>
          <w:sz w:val="22"/>
        </w:rPr>
        <w:t>Competition in generative AI is not only reply quality. Persona persistence, per-turn safety and cost tracing, content provenance, minor policies, and honest disclosure of external trust frameworks are the technical substance.</w:t>
      </w:r>
    </w:p>
    <w:p>
      <w:pPr>
        <w:spacing w:after="120" w:line="240" w:lineRule="auto"/>
      </w:pPr>
      <w:r>
        <w:rPr>
          <w:b w:val="0"/>
          <w:sz w:val="22"/>
        </w:rPr>
        <w:t>XenLook protects that substance with patents, registers product and constitutional expressions as copyrights, and documents trust operations inside the core-technology chapter.</w:t>
      </w:r>
    </w:p>
    <w:p>
      <w:pPr>
        <w:pStyle w:val="Heading1"/>
      </w:pPr>
      <w:r>
        <w:rPr>
          <w:b/>
          <w:sz w:val="28"/>
        </w:rPr>
        <w:t>3. Definisi masalah</w:t>
      </w:r>
    </w:p>
    <w:p>
      <w:pPr>
        <w:spacing w:after="120" w:line="240" w:lineRule="auto"/>
      </w:pPr>
      <w:r>
        <w:rPr>
          <w:b w:val="0"/>
          <w:sz w:val="22"/>
        </w:rPr>
        <w:t>Recurring failure modes in public services map to the three core axes as follows.</w:t>
      </w:r>
    </w:p>
    <w:p>
      <w:pPr>
        <w:pStyle w:val="ListBullet"/>
      </w:pPr>
      <w:r>
        <w:rPr>
          <w:b w:val="0"/>
          <w:sz w:val="22"/>
        </w:rPr>
        <w:t>Speech-act / multi-intent collapse → Patent 04</w:t>
      </w:r>
    </w:p>
    <w:p>
      <w:pPr>
        <w:pStyle w:val="ListBullet"/>
      </w:pPr>
      <w:r>
        <w:rPr>
          <w:b w:val="0"/>
          <w:sz w:val="22"/>
        </w:rPr>
        <w:t>Identity dilution / context collapse → Patent 05 · copyrights (On · Constitution)</w:t>
      </w:r>
    </w:p>
    <w:p>
      <w:pPr>
        <w:pStyle w:val="ListBullet"/>
      </w:pPr>
      <w:r>
        <w:rPr>
          <w:b w:val="0"/>
          <w:sz w:val="22"/>
        </w:rPr>
        <w:t>Agent lifecycle vacuum → Patent 06</w:t>
      </w:r>
    </w:p>
    <w:p>
      <w:pPr>
        <w:pStyle w:val="ListBullet"/>
      </w:pPr>
      <w:r>
        <w:rPr>
          <w:b w:val="0"/>
          <w:sz w:val="22"/>
        </w:rPr>
        <w:t>Media lane mismatch / missing provenance → Patents 07·08 · copyright (C2PA portal)</w:t>
      </w:r>
    </w:p>
    <w:p>
      <w:pPr>
        <w:pStyle w:val="ListBullet"/>
      </w:pPr>
      <w:r>
        <w:rPr>
          <w:b w:val="0"/>
          <w:sz w:val="22"/>
        </w:rPr>
        <w:t>All-engine calls / post-hoc safety / broken audit → Patents 01·09</w:t>
      </w:r>
    </w:p>
    <w:p>
      <w:pPr>
        <w:pStyle w:val="ListBullet"/>
      </w:pPr>
      <w:r>
        <w:rPr>
          <w:b w:val="0"/>
          <w:sz w:val="22"/>
        </w:rPr>
        <w:t>Minor surface leakage → Patent 10</w:t>
      </w:r>
    </w:p>
    <w:p>
      <w:pPr>
        <w:pStyle w:val="ListBullet"/>
      </w:pPr>
      <w:r>
        <w:rPr>
          <w:b w:val="0"/>
          <w:sz w:val="22"/>
        </w:rPr>
        <w:t>Campus / studio tracking gaps → Patents 02·03</w:t>
      </w:r>
    </w:p>
    <w:p>
      <w:pPr>
        <w:pStyle w:val="ListBullet"/>
      </w:pPr>
      <w:r>
        <w:rPr>
          <w:b w:val="0"/>
          <w:sz w:val="22"/>
        </w:rPr>
        <w:t>Overstated certification / status confusion → Core C trust-governance definitions and tables</w:t>
      </w:r>
    </w:p>
    <w:p>
      <w:pPr>
        <w:pStyle w:val="Heading1"/>
      </w:pPr>
      <w:r>
        <w:rPr>
          <w:b/>
          <w:sz w:val="28"/>
        </w:rPr>
        <w:t>4. Teknologi inti</w:t>
      </w:r>
    </w:p>
    <w:p>
      <w:pPr>
        <w:spacing w:after="120" w:line="240" w:lineRule="auto"/>
      </w:pPr>
      <w:r>
        <w:rPr>
          <w:b w:val="0"/>
          <w:sz w:val="22"/>
        </w:rPr>
        <w:t>Core technology is replaced by patents (A), copyrights (B), and trust governance (C). This chapter is not filled with architecture slogans alone.</w:t>
      </w:r>
    </w:p>
    <w:p>
      <w:pPr>
        <w:pStyle w:val="Heading1"/>
      </w:pPr>
      <w:r>
        <w:rPr>
          <w:b/>
          <w:sz w:val="28"/>
        </w:rPr>
        <w:t>4.A Paten — sepuluh invensi metode/sistem</w:t>
      </w:r>
    </w:p>
    <w:p>
      <w:pPr>
        <w:spacing w:after="120" w:line="240" w:lineRule="auto"/>
      </w:pPr>
      <w:r>
        <w:rPr>
          <w:b w:val="0"/>
          <w:sz w:val="22"/>
        </w:rPr>
        <w:t>Status: domestic filing complete · examination request pending · not registered. Applicant: XenLook Inc. The following restates field, problem, structure, and effects from each specification for white-paper use; it does not replace full claims.</w:t>
      </w:r>
    </w:p>
    <w:p>
      <w:pPr>
        <w:pStyle w:val="Heading1"/>
      </w:pPr>
      <w:r>
        <w:rPr>
          <w:b/>
          <w:sz w:val="28"/>
        </w:rPr>
        <w:t>4.A.1 Paten 01 — Verifikasi bertingkat permintaan AI eksternal dan audit publik</w:t>
      </w:r>
    </w:p>
    <w:p>
      <w:pPr>
        <w:spacing w:after="120" w:line="240" w:lineRule="auto"/>
      </w:pPr>
      <w:r>
        <w:rPr>
          <w:b w:val="0"/>
          <w:sz w:val="22"/>
        </w:rPr>
        <w:t>Application No. 10-2026-0100026.</w:t>
      </w:r>
    </w:p>
    <w:p>
      <w:pPr>
        <w:spacing w:after="120" w:line="240" w:lineRule="auto"/>
      </w:pPr>
      <w:r>
        <w:rPr>
          <w:b w:val="0"/>
          <w:sz w:val="22"/>
        </w:rPr>
        <w:t>Field: external AI requests, multi-engine orchestration, operational verification, auditable state for public release.</w:t>
      </w:r>
    </w:p>
    <w:p>
      <w:pPr>
        <w:spacing w:after="120" w:line="240" w:lineRule="auto"/>
      </w:pPr>
      <w:r>
        <w:rPr>
          <w:b w:val="0"/>
          <w:sz w:val="22"/>
        </w:rPr>
        <w:t>Problem: if create/chat/create/deploy paths are not linked to state transitions and audit records, policy breaches and missing after-the-fact evidence follow.</w:t>
      </w:r>
    </w:p>
    <w:p>
      <w:pPr>
        <w:spacing w:after="120" w:line="240" w:lineRule="auto"/>
      </w:pPr>
      <w:r>
        <w:rPr>
          <w:b w:val="0"/>
          <w:sz w:val="22"/>
        </w:rPr>
        <w:t>Structure: input · state collection · orchestration · engine execution · policy gate · audit log · publish/deploy. Figure axes: Gate Filter · Priority Queue · Integrity Check · Curation · Public Display · Audit Log · Safety Score.</w:t>
      </w:r>
    </w:p>
    <w:p>
      <w:pPr>
        <w:spacing w:after="120" w:line="240" w:lineRule="auto"/>
      </w:pPr>
      <w:r>
        <w:rPr>
          <w:b w:val="0"/>
          <w:sz w:val="22"/>
        </w:rPr>
        <w:t>Effect: structures operational stability, explainability, cost control, pre-publish review, and provenance evidence versus a single LLM call.</w:t>
      </w:r>
    </w:p>
    <w:p>
      <w:pPr>
        <w:pStyle w:val="Heading1"/>
      </w:pPr>
      <w:r>
        <w:rPr>
          <w:b/>
          <w:sz w:val="28"/>
        </w:rPr>
        <w:t>4.A.2 Paten 02 — Sistem kampus pembelajaran, tugas, dan debat agen AI</w:t>
      </w:r>
    </w:p>
    <w:p>
      <w:pPr>
        <w:spacing w:after="120" w:line="240" w:lineRule="auto"/>
      </w:pPr>
      <w:r>
        <w:rPr>
          <w:b w:val="0"/>
          <w:sz w:val="22"/>
        </w:rPr>
        <w:t>Application No. 10-2026-0100053.</w:t>
      </w:r>
    </w:p>
    <w:p>
      <w:pPr>
        <w:spacing w:after="120" w:line="240" w:lineRule="auto"/>
      </w:pPr>
      <w:r>
        <w:rPr>
          <w:b w:val="0"/>
          <w:sz w:val="22"/>
        </w:rPr>
        <w:t>Problem: learning, assignments, and debate scatter into one-off prompts and lose growth tracking, public quality, and audit linkage.</w:t>
      </w:r>
    </w:p>
    <w:p>
      <w:pPr>
        <w:spacing w:after="120" w:line="240" w:lineRule="auto"/>
      </w:pPr>
      <w:r>
        <w:rPr>
          <w:b w:val="0"/>
          <w:sz w:val="22"/>
        </w:rPr>
        <w:t>Structure: Topic Intake → Agent Assignment → Task Run → Debate → Score → Growth → Atelier link.</w:t>
      </w:r>
    </w:p>
    <w:p>
      <w:pPr>
        <w:spacing w:after="120" w:line="240" w:lineRule="auto"/>
      </w:pPr>
      <w:r>
        <w:rPr>
          <w:b w:val="0"/>
          <w:sz w:val="22"/>
        </w:rPr>
        <w:t>Effect: keeps learning/debate/growth as reproducible operating units tied to pre-publish review.</w:t>
      </w:r>
    </w:p>
    <w:p>
      <w:pPr>
        <w:pStyle w:val="Heading1"/>
      </w:pPr>
      <w:r>
        <w:rPr>
          <w:b/>
          <w:sz w:val="28"/>
        </w:rPr>
        <w:t>4.A.3 Paten 03 — Sistem studio multi-kreator AI</w:t>
      </w:r>
    </w:p>
    <w:p>
      <w:pPr>
        <w:spacing w:after="120" w:line="240" w:lineRule="auto"/>
      </w:pPr>
      <w:r>
        <w:rPr>
          <w:b w:val="0"/>
          <w:sz w:val="22"/>
        </w:rPr>
        <w:t>Application No. 10-2026-0100113.</w:t>
      </w:r>
    </w:p>
    <w:p>
      <w:pPr>
        <w:spacing w:after="120" w:line="240" w:lineRule="auto"/>
      </w:pPr>
      <w:r>
        <w:rPr>
          <w:b w:val="0"/>
          <w:sz w:val="22"/>
        </w:rPr>
        <w:t>Problem: collaborative creation separated from engines, review, and exhibition collapses canon and provenance.</w:t>
      </w:r>
    </w:p>
    <w:p>
      <w:pPr>
        <w:spacing w:after="120" w:line="240" w:lineRule="auto"/>
      </w:pPr>
      <w:r>
        <w:rPr>
          <w:b w:val="0"/>
          <w:sz w:val="22"/>
        </w:rPr>
        <w:t>Structure: Project Intake → Team Formation → LIFE Pipeline → Canon Check → Exhibition → Review.</w:t>
      </w:r>
    </w:p>
    <w:p>
      <w:pPr>
        <w:spacing w:after="120" w:line="240" w:lineRule="auto"/>
      </w:pPr>
      <w:r>
        <w:rPr>
          <w:b w:val="0"/>
          <w:sz w:val="22"/>
        </w:rPr>
        <w:t>Effect: operates collaboration, review, and exhibition as traceable state.</w:t>
      </w:r>
    </w:p>
    <w:p>
      <w:pPr>
        <w:pStyle w:val="Heading1"/>
      </w:pPr>
      <w:r>
        <w:rPr>
          <w:b/>
          <w:sz w:val="28"/>
        </w:rPr>
        <w:t>4.A.4 Paten 04 — Pengenalan multi-niat berbasis tindak tutur dan dialog adaptif konteks</w:t>
      </w:r>
    </w:p>
    <w:p>
      <w:pPr>
        <w:spacing w:after="120" w:line="240" w:lineRule="auto"/>
      </w:pPr>
      <w:r>
        <w:rPr>
          <w:b w:val="0"/>
          <w:sz w:val="22"/>
        </w:rPr>
        <w:t>Application No. 10-2026-0117901.</w:t>
      </w:r>
    </w:p>
    <w:p>
      <w:pPr>
        <w:spacing w:after="120" w:line="240" w:lineRule="auto"/>
      </w:pPr>
      <w:r>
        <w:rPr>
          <w:b w:val="0"/>
          <w:sz w:val="22"/>
        </w:rPr>
        <w:t>Problem: single-label intent loses stacked intents; ignoring speech acts (honorifics, rhetorical questions, hedging, hesitation, self-deprecation, direct commands) drives over-empathy.</w:t>
      </w:r>
    </w:p>
    <w:p>
      <w:pPr>
        <w:spacing w:after="120" w:line="240" w:lineRule="auto"/>
      </w:pPr>
      <w:r>
        <w:rPr>
          <w:b w:val="0"/>
          <w:sz w:val="22"/>
        </w:rPr>
        <w:t>Structure: intent probability vector P · speech-act vector S · NunchiContext fusion · prompt injection · confidence-margin M branching · EMA temporal accumulation.</w:t>
      </w:r>
    </w:p>
    <w:p>
      <w:pPr>
        <w:spacing w:after="120" w:line="240" w:lineRule="auto"/>
      </w:pPr>
      <w:r>
        <w:rPr>
          <w:b w:val="0"/>
          <w:sz w:val="22"/>
        </w:rPr>
        <w:t>Effect: preserves multi-intent, strengthens indirect-emotion capture while suppressing over-empathy, asks clarifying questions under uncertainty, tracks intent drift.</w:t>
      </w:r>
    </w:p>
    <w:p>
      <w:pPr>
        <w:pStyle w:val="Heading1"/>
      </w:pPr>
      <w:r>
        <w:rPr>
          <w:b/>
          <w:sz w:val="28"/>
        </w:rPr>
        <w:t>4.A.5 Paten 05 — Pengumpulan, perakitan, dan injeksi konteks multi-sumber</w:t>
      </w:r>
    </w:p>
    <w:p>
      <w:pPr>
        <w:spacing w:after="120" w:line="240" w:lineRule="auto"/>
      </w:pPr>
      <w:r>
        <w:rPr>
          <w:b w:val="0"/>
          <w:sz w:val="22"/>
        </w:rPr>
        <w:t>Application No. 10-2026-0117903.</w:t>
      </w:r>
    </w:p>
    <w:p>
      <w:pPr>
        <w:spacing w:after="120" w:line="240" w:lineRule="auto"/>
      </w:pPr>
      <w:r>
        <w:rPr>
          <w:b w:val="0"/>
          <w:sz w:val="22"/>
        </w:rPr>
        <w:t>Problem: short-term chat overwrites SOUL/IDENTITY/chronicle and dilutes identity; each app scope needs a different context pack.</w:t>
      </w:r>
    </w:p>
    <w:p>
      <w:pPr>
        <w:spacing w:after="120" w:line="240" w:lineRule="auto"/>
      </w:pPr>
      <w:r>
        <w:rPr>
          <w:b w:val="0"/>
          <w:sz w:val="22"/>
        </w:rPr>
        <w:t>Structure: parallel multi-source collect → token budget → app-scope branch → prompt-pack assemble/inject → PII-free fingerprint.</w:t>
      </w:r>
    </w:p>
    <w:p>
      <w:pPr>
        <w:spacing w:after="120" w:line="240" w:lineRule="auto"/>
      </w:pPr>
      <w:r>
        <w:rPr>
          <w:b w:val="0"/>
          <w:sz w:val="22"/>
        </w:rPr>
        <w:t>Effect: identity retention and reproducibility, per-scope budgets, quality analysis with non-storing PII fingerprints.</w:t>
      </w:r>
    </w:p>
    <w:p>
      <w:pPr>
        <w:pStyle w:val="Heading1"/>
      </w:pPr>
      <w:r>
        <w:rPr>
          <w:b/>
          <w:sz w:val="28"/>
        </w:rPr>
        <w:t>4.A.6 Paten 06 — Tata kelola siklus hidup agen</w:t>
      </w:r>
    </w:p>
    <w:p>
      <w:pPr>
        <w:spacing w:after="120" w:line="240" w:lineRule="auto"/>
      </w:pPr>
      <w:r>
        <w:rPr>
          <w:b w:val="0"/>
          <w:sz w:val="22"/>
        </w:rPr>
        <w:t>Application No. 10-2026-0117904.</w:t>
      </w:r>
    </w:p>
    <w:p>
      <w:pPr>
        <w:spacing w:after="120" w:line="240" w:lineRule="auto"/>
      </w:pPr>
      <w:r>
        <w:rPr>
          <w:b w:val="0"/>
          <w:sz w:val="22"/>
        </w:rPr>
        <w:t>Problem: delete-versus-unlimited-publish binaries either destroy IP/relationship data or leave unsafe agents live.</w:t>
      </w:r>
    </w:p>
    <w:p>
      <w:pPr>
        <w:spacing w:after="120" w:line="240" w:lineRule="auto"/>
      </w:pPr>
      <w:r>
        <w:rPr>
          <w:b w:val="0"/>
          <w:sz w:val="22"/>
        </w:rPr>
        <w:t>Structure: birth·growth·maturity·decline·extinction · growth scores/violation records · gate branching · hold/recover · header propagation.</w:t>
      </w:r>
    </w:p>
    <w:p>
      <w:pPr>
        <w:spacing w:after="120" w:line="240" w:lineRule="auto"/>
      </w:pPr>
      <w:r>
        <w:rPr>
          <w:b w:val="0"/>
          <w:sz w:val="22"/>
        </w:rPr>
        <w:t>Effect: isolate risk while preserving IP/relationships; control Chronicle promotion via growth and public-quality gates.</w:t>
      </w:r>
    </w:p>
    <w:p>
      <w:pPr>
        <w:pStyle w:val="Heading1"/>
      </w:pPr>
      <w:r>
        <w:rPr>
          <w:b/>
          <w:sz w:val="28"/>
        </w:rPr>
        <w:t>4.A.7 Paten 07 — Provenans konten hierarkis tindakan agen AI pada AR wearable</w:t>
      </w:r>
    </w:p>
    <w:p>
      <w:pPr>
        <w:spacing w:after="120" w:line="240" w:lineRule="auto"/>
      </w:pPr>
      <w:r>
        <w:rPr>
          <w:b w:val="0"/>
          <w:sz w:val="22"/>
        </w:rPr>
        <w:t>Application No. 10-2026-0121013.</w:t>
      </w:r>
    </w:p>
    <w:p>
      <w:pPr>
        <w:spacing w:after="120" w:line="240" w:lineRule="auto"/>
      </w:pPr>
      <w:r>
        <w:rPr>
          <w:b w:val="0"/>
          <w:sz w:val="22"/>
        </w:rPr>
        <w:t>Problem: a single capture-time signature does not separate inference (M2) and display (M3) provenance in the same session.</w:t>
      </w:r>
    </w:p>
    <w:p>
      <w:pPr>
        <w:spacing w:after="120" w:line="240" w:lineRule="auto"/>
      </w:pPr>
      <w:r>
        <w:rPr>
          <w:b w:val="0"/>
          <w:sz w:val="22"/>
        </w:rPr>
        <w:t>Structure: M1 capture → M2 agent action (c2pa.ingredient.v3 → M1) → M3 overlay/awareness (→ M1·M2) · COSE_Sign1·X.509·hash offline verify.</w:t>
      </w:r>
    </w:p>
    <w:p>
      <w:pPr>
        <w:spacing w:after="120" w:line="240" w:lineRule="auto"/>
      </w:pPr>
      <w:r>
        <w:rPr>
          <w:b w:val="0"/>
          <w:sz w:val="22"/>
        </w:rPr>
        <w:t>Effect: offline verify, per-stage tamper detection, multi-agent trust chain, capture–composite provenance loop.</w:t>
      </w:r>
    </w:p>
    <w:p>
      <w:pPr>
        <w:pStyle w:val="Heading1"/>
      </w:pPr>
      <w:r>
        <w:rPr>
          <w:b/>
          <w:sz w:val="28"/>
        </w:rPr>
        <w:t>4.A.8 Paten 08 — Generasi media persona 3 jalur SOUL·IDENTITY dan pencatatan provenans</w:t>
      </w:r>
    </w:p>
    <w:p>
      <w:pPr>
        <w:spacing w:after="120" w:line="240" w:lineRule="auto"/>
      </w:pPr>
      <w:r>
        <w:rPr>
          <w:b w:val="0"/>
          <w:sz w:val="22"/>
        </w:rPr>
        <w:t>Application No. 10-2026-0121018.</w:t>
      </w:r>
    </w:p>
    <w:p>
      <w:pPr>
        <w:spacing w:after="120" w:line="240" w:lineRule="auto"/>
      </w:pPr>
      <w:r>
        <w:rPr>
          <w:b w:val="0"/>
          <w:sz w:val="22"/>
        </w:rPr>
        <w:t>Problem: without pre-load of persona packs, identity collapses across novel/image/video lanes; signing unverified outputs contaminates provenance.</w:t>
      </w:r>
    </w:p>
    <w:p>
      <w:pPr>
        <w:spacing w:after="120" w:line="240" w:lineRule="auto"/>
      </w:pPr>
      <w:r>
        <w:rPr>
          <w:b w:val="0"/>
          <w:sz w:val="22"/>
        </w:rPr>
        <w:t>Structure: persona loader (reject on missing required fields) → lane router (same personaPackHash) → fidelity review (pass/requeue/block) → C2PA v2.4 only on pass.</w:t>
      </w:r>
    </w:p>
    <w:p>
      <w:pPr>
        <w:spacing w:after="120" w:line="240" w:lineRule="auto"/>
      </w:pPr>
      <w:r>
        <w:rPr>
          <w:b w:val="0"/>
          <w:sz w:val="22"/>
        </w:rPr>
        <w:t>Effect: structural cross-lane identity, automatic requeue, provenance only on passed outputs.</w:t>
      </w:r>
    </w:p>
    <w:p>
      <w:pPr>
        <w:pStyle w:val="Heading1"/>
      </w:pPr>
      <w:r>
        <w:rPr>
          <w:b/>
          <w:sz w:val="28"/>
        </w:rPr>
        <w:t>4.A.9 Paten 09 — Gerbang fase registri mesin, jejak kandidat, dan blok keamanan pra-LLM</w:t>
      </w:r>
    </w:p>
    <w:p>
      <w:pPr>
        <w:spacing w:after="120" w:line="240" w:lineRule="auto"/>
      </w:pPr>
      <w:r>
        <w:rPr>
          <w:b w:val="0"/>
          <w:sz w:val="22"/>
        </w:rPr>
        <w:t>Application No. 10-2026-0123982.</w:t>
      </w:r>
    </w:p>
    <w:p>
      <w:pPr>
        <w:spacing w:after="120" w:line="240" w:lineRule="auto"/>
      </w:pPr>
      <w:r>
        <w:rPr>
          <w:b w:val="0"/>
          <w:sz w:val="22"/>
        </w:rPr>
        <w:t>Problem: all-engine call cost/latency, no trace for uncalled engines, wasteful post-hoc safety inference, fragmented logs that cannot rebuild a turn.</w:t>
      </w:r>
    </w:p>
    <w:p>
      <w:pPr>
        <w:spacing w:after="120" w:line="240" w:lineRule="auto"/>
      </w:pPr>
      <w:r>
        <w:rPr>
          <w:b w:val="0"/>
          <w:sz w:val="22"/>
        </w:rPr>
        <w:t>Structure: per-turn correlation ID · phase gate · candidate-only cost-0 traces for uncalled engines · pre-LLM safety block records unsent-token estimates · no downstream LLM call.</w:t>
      </w:r>
    </w:p>
    <w:p>
      <w:pPr>
        <w:spacing w:after="120" w:line="240" w:lineRule="auto"/>
      </w:pPr>
      <w:r>
        <w:rPr>
          <w:b w:val="0"/>
          <w:sz w:val="22"/>
        </w:rPr>
        <w:t>Effect: reconstruct call/skip/block under one correlation ID. Spec metrics are applicant self-measurement, not third-party lab grades.</w:t>
      </w:r>
    </w:p>
    <w:p>
      <w:pPr>
        <w:pStyle w:val="Heading1"/>
      </w:pPr>
      <w:r>
        <w:rPr>
          <w:b/>
          <w:sz w:val="28"/>
        </w:rPr>
        <w:t>4.A.10 Paten 10 — Gerbang awal multi-permukaan untuk anak di bawah umur dan jejak audit</w:t>
      </w:r>
    </w:p>
    <w:p>
      <w:pPr>
        <w:spacing w:after="120" w:line="240" w:lineRule="auto"/>
      </w:pPr>
      <w:r>
        <w:rPr>
          <w:b w:val="0"/>
          <w:sz w:val="22"/>
        </w:rPr>
        <w:t>Application No. 10-2026-0124000.</w:t>
      </w:r>
    </w:p>
    <w:p>
      <w:pPr>
        <w:spacing w:after="120" w:line="240" w:lineRule="auto"/>
      </w:pPr>
      <w:r>
        <w:rPr>
          <w:b w:val="0"/>
          <w:sz w:val="22"/>
        </w:rPr>
        <w:t>Problem: cross-surface policy leak, UI-only blocks that still call downstream APIs, inconsistent minor determination per surface, mutable logs that cannot reproduce disputes.</w:t>
      </w:r>
    </w:p>
    <w:p>
      <w:pPr>
        <w:spacing w:after="120" w:line="240" w:lineRule="auto"/>
      </w:pPr>
      <w:r>
        <w:rPr>
          <w:b w:val="0"/>
          <w:sz w:val="22"/>
        </w:rPr>
        <w:t>Structure: single minor profile · per-API-path surface policy pre-eval · on block: no downstream call · audit of reason·surface·correlation·candidate-only.</w:t>
      </w:r>
    </w:p>
    <w:p>
      <w:pPr>
        <w:spacing w:after="120" w:line="240" w:lineRule="auto"/>
      </w:pPr>
      <w:r>
        <w:rPr>
          <w:b w:val="0"/>
          <w:sz w:val="22"/>
        </w:rPr>
        <w:t>Effect: reduces leak and cosmetic blocks; preserves pre-block evidence. Metrics follow the specification examples, not external accreditation.</w:t>
      </w:r>
    </w:p>
    <w:p>
      <w:pPr>
        <w:pStyle w:val="Heading1"/>
      </w:pPr>
      <w:r>
        <w:rPr>
          <w:b/>
          <w:sz w:val="28"/>
        </w:rPr>
        <w:t>4.B Hak cipta — lima ekspresi produk/norma</w:t>
      </w:r>
    </w:p>
    <w:p>
      <w:pPr>
        <w:spacing w:after="120" w:line="240" w:lineRule="auto"/>
      </w:pPr>
      <w:r>
        <w:rPr>
          <w:b w:val="0"/>
          <w:sz w:val="22"/>
        </w:rPr>
        <w:t>Copyright is not a list; it is the expression axis of core technology. Patents protect methods/systems; copyrights register the program and literary expressions that implement them. Authority: Korea Copyright Commission · Copyright Act Article 53. Certificate PDFs verified.</w:t>
      </w:r>
    </w:p>
    <w:p>
      <w:pPr>
        <w:pStyle w:val="Heading1"/>
      </w:pPr>
      <w:r>
        <w:rPr>
          <w:b/>
          <w:sz w:val="28"/>
        </w:rPr>
        <w:t>4.B.1 C-2026-036487 — Portal autentikasi provenans media (program)</w:t>
      </w:r>
    </w:p>
    <w:p>
      <w:pPr>
        <w:spacing w:after="120" w:line="240" w:lineRule="auto"/>
      </w:pPr>
      <w:r>
        <w:rPr>
          <w:b w:val="0"/>
          <w:sz w:val="22"/>
        </w:rPr>
        <w:t>Registered 2026-07-23 · created 2026-07-05 · author XenLook Inc.</w:t>
      </w:r>
    </w:p>
    <w:p>
      <w:pPr>
        <w:spacing w:after="120" w:line="240" w:lineRule="auto"/>
      </w:pPr>
      <w:r>
        <w:rPr>
          <w:b w:val="0"/>
          <w:sz w:val="22"/>
        </w:rPr>
        <w:t>Role: C2PA embed/verify/conformance, Trust List/CA application tracking UI, transparency dashboard. Public expression of patents 07·08. Trust List and Generator remain under review in product copy.</w:t>
      </w:r>
    </w:p>
    <w:p>
      <w:pPr>
        <w:pStyle w:val="Heading1"/>
      </w:pPr>
      <w:r>
        <w:rPr>
          <w:b/>
          <w:sz w:val="28"/>
        </w:rPr>
        <w:t>4.B.2 C-2026-037388 — XenLook On (program)</w:t>
      </w:r>
    </w:p>
    <w:p>
      <w:pPr>
        <w:spacing w:after="120" w:line="240" w:lineRule="auto"/>
      </w:pPr>
      <w:r>
        <w:rPr>
          <w:b w:val="0"/>
          <w:sz w:val="22"/>
        </w:rPr>
        <w:t>Registered 2026-07-30 · XenLook On — agent chat, gallery, profile · author XenLook Inc.</w:t>
      </w:r>
    </w:p>
    <w:p>
      <w:pPr>
        <w:spacing w:after="120" w:line="240" w:lineRule="auto"/>
      </w:pPr>
      <w:r>
        <w:rPr>
          <w:b w:val="0"/>
          <w:sz w:val="22"/>
        </w:rPr>
        <w:t>Role: 1:1 chat shell, gallery/profile/chronicle tabs, onboarding — primary dialogue surface for patents 04·05·06·09·10.</w:t>
      </w:r>
    </w:p>
    <w:p>
      <w:pPr>
        <w:pStyle w:val="Heading1"/>
      </w:pPr>
      <w:r>
        <w:rPr>
          <w:b/>
          <w:sz w:val="28"/>
        </w:rPr>
        <w:t>4.B.3 C-2026-037389 — XenLook Landing (program)</w:t>
      </w:r>
    </w:p>
    <w:p>
      <w:pPr>
        <w:spacing w:after="120" w:line="240" w:lineRule="auto"/>
      </w:pPr>
      <w:r>
        <w:rPr>
          <w:b w:val="0"/>
          <w:sz w:val="22"/>
        </w:rPr>
        <w:t>Registered 2026-07-30 · public marketing, compliance, blog surface · author XenLook Inc.</w:t>
      </w:r>
    </w:p>
    <w:p>
      <w:pPr>
        <w:spacing w:after="120" w:line="240" w:lineRule="auto"/>
      </w:pPr>
      <w:r>
        <w:rPr>
          <w:b w:val="0"/>
          <w:sz w:val="22"/>
        </w:rPr>
        <w:t>Role: public entry for product, policy, certification hub, and IP disclosure — carrier of Core C trust status.</w:t>
      </w:r>
    </w:p>
    <w:p>
      <w:pPr>
        <w:pStyle w:val="Heading1"/>
      </w:pPr>
      <w:r>
        <w:rPr>
          <w:b/>
          <w:sz w:val="28"/>
        </w:rPr>
        <w:t>4.B.4 C-2026-037390 — XenLook Signal (program)</w:t>
      </w:r>
    </w:p>
    <w:p>
      <w:pPr>
        <w:spacing w:after="120" w:line="240" w:lineRule="auto"/>
      </w:pPr>
      <w:r>
        <w:rPr>
          <w:b w:val="0"/>
          <w:sz w:val="22"/>
        </w:rPr>
        <w:t>Registered 2026-07-30 · AI safety simulation and technical Q archive · author XenLook Inc.</w:t>
      </w:r>
    </w:p>
    <w:p>
      <w:pPr>
        <w:spacing w:after="120" w:line="240" w:lineRule="auto"/>
      </w:pPr>
      <w:r>
        <w:rPr>
          <w:b w:val="0"/>
          <w:sz w:val="22"/>
        </w:rPr>
        <w:t>Role: safety/tech Q and archive surface aligned with patent 01 public audit/verification.</w:t>
      </w:r>
    </w:p>
    <w:p>
      <w:pPr>
        <w:pStyle w:val="Heading1"/>
      </w:pPr>
      <w:r>
        <w:rPr>
          <w:b/>
          <w:sz w:val="28"/>
        </w:rPr>
        <w:t>4.B.5 C-2026-037563 — Konstitusi agen AI (karya sastra)</w:t>
      </w:r>
    </w:p>
    <w:p>
      <w:pPr>
        <w:spacing w:after="120" w:line="240" w:lineRule="auto"/>
      </w:pPr>
      <w:r>
        <w:rPr>
          <w:b w:val="0"/>
          <w:sz w:val="22"/>
        </w:rPr>
        <w:t>Registered 2026-07-31 · created 2026-05-18 · published 2026-06-01 · joint authors Yang Yeon-kyung · Nam Hyun-woo.</w:t>
      </w:r>
    </w:p>
    <w:p>
      <w:pPr>
        <w:spacing w:after="120" w:line="240" w:lineRule="auto"/>
      </w:pPr>
      <w:r>
        <w:rPr>
          <w:b w:val="0"/>
          <w:sz w:val="22"/>
        </w:rPr>
        <w:t>Role: literary expression of agent operating/ethics/identity norms; links to patent 09 constitutional pre-LLM safety. Registered as literary work, separate from program copyrights.</w:t>
      </w:r>
    </w:p>
    <w:p>
      <w:pPr>
        <w:pStyle w:val="Heading1"/>
      </w:pPr>
      <w:r>
        <w:rPr>
          <w:b/>
          <w:sz w:val="28"/>
        </w:rPr>
        <w:t>4.C Kepercayaan &amp; tata kelola (teknologi inti · rinci)</w:t>
      </w:r>
    </w:p>
    <w:p>
      <w:pPr>
        <w:spacing w:after="120" w:line="240" w:lineRule="auto"/>
      </w:pPr>
      <w:r>
        <w:rPr>
          <w:b w:val="0"/>
          <w:sz w:val="22"/>
        </w:rPr>
        <w:t>Trust and governance are core technology, not an afterthought appendix. If patents and copyrights answer what we built, this section answers how we verify, disclose, and operate review status — without mixing statuses into fake Certified claims.</w:t>
      </w:r>
    </w:p>
    <w:p>
      <w:pPr>
        <w:pStyle w:val="Heading1"/>
      </w:pPr>
      <w:r>
        <w:rPr>
          <w:b/>
          <w:sz w:val="28"/>
        </w:rPr>
        <w:t>4.C.1 Definisi status (tetap)</w:t>
      </w:r>
    </w:p>
    <w:p>
      <w:pPr>
        <w:pStyle w:val="ListBullet"/>
      </w:pPr>
      <w:r>
        <w:rPr>
          <w:b w:val="0"/>
          <w:sz w:val="22"/>
        </w:rPr>
        <w:t>Self-assessment — internal review and public evidence pack done; not a third-party certificate</w:t>
      </w:r>
    </w:p>
    <w:p>
      <w:pPr>
        <w:pStyle w:val="ListBullet"/>
      </w:pPr>
      <w:r>
        <w:rPr>
          <w:b w:val="0"/>
          <w:sz w:val="22"/>
        </w:rPr>
        <w:t>Listed — published on an external registry or membership roll</w:t>
      </w:r>
    </w:p>
    <w:p>
      <w:pPr>
        <w:pStyle w:val="ListBullet"/>
      </w:pPr>
      <w:r>
        <w:rPr>
          <w:b w:val="0"/>
          <w:sz w:val="22"/>
        </w:rPr>
        <w:t>Under review — external review in progress; not approved/listed complete</w:t>
      </w:r>
    </w:p>
    <w:p>
      <w:pPr>
        <w:pStyle w:val="ListBullet"/>
      </w:pPr>
      <w:r>
        <w:rPr>
          <w:b w:val="0"/>
          <w:sz w:val="22"/>
        </w:rPr>
        <w:t>Roadmap — schedule/plan only or not yet started</w:t>
      </w:r>
    </w:p>
    <w:p>
      <w:pPr>
        <w:pStyle w:val="ListBullet"/>
      </w:pPr>
      <w:r>
        <w:rPr>
          <w:b w:val="0"/>
          <w:sz w:val="22"/>
        </w:rPr>
        <w:t>Not held — forbid Certified / CE affixed / Trust List listing-complete claims</w:t>
      </w:r>
    </w:p>
    <w:p>
      <w:pPr>
        <w:pStyle w:val="Heading1"/>
      </w:pPr>
      <w:r>
        <w:rPr>
          <w:b/>
          <w:sz w:val="28"/>
        </w:rPr>
        <w:t>4.C.2 Operasi keamanan &amp; kualitas (tata kelola dalam produk)</w:t>
      </w:r>
    </w:p>
    <w:p>
      <w:pPr>
        <w:spacing w:after="120" w:line="240" w:lineRule="auto"/>
      </w:pPr>
      <w:r>
        <w:rPr>
          <w:b w:val="0"/>
          <w:sz w:val="22"/>
        </w:rPr>
        <w:t>Dialogue turns pass safety and engine-registry phase gates (patent 09). Minors are blocked by surface/API-path pre-gates with no downstream call (patent 10). Persona media receives provenance signatures only after fidelity pass (patent 08). Pre-publish verification and audit records follow patent 01.</w:t>
      </w:r>
    </w:p>
    <w:p>
      <w:pPr>
        <w:spacing w:after="120" w:line="240" w:lineRule="auto"/>
      </w:pPr>
      <w:r>
        <w:rPr>
          <w:b w:val="0"/>
          <w:sz w:val="22"/>
        </w:rPr>
        <w:t>Quality rubrics (empathy/greet/identity minima, no AI self-claims) and dual-LLM terminal chains are operational policy — not a product-100 or legal-clearance claim.</w:t>
      </w:r>
    </w:p>
    <w:p>
      <w:pPr>
        <w:pStyle w:val="Heading1"/>
      </w:pPr>
      <w:r>
        <w:rPr>
          <w:b/>
          <w:sz w:val="28"/>
        </w:rPr>
        <w:t>4.C.3 Tata kelola provenans media (C2PA)</w:t>
      </w:r>
    </w:p>
    <w:p>
      <w:pPr>
        <w:spacing w:after="120" w:line="240" w:lineRule="auto"/>
      </w:pPr>
      <w:r>
        <w:rPr>
          <w:b w:val="0"/>
          <w:sz w:val="22"/>
        </w:rPr>
        <w:t>C2PA Certification Authority Agreement is signed (2026-06-13). Territory is Korea→Japan (KR→JP); no global CA claim.</w:t>
      </w:r>
    </w:p>
    <w:p>
      <w:pPr>
        <w:spacing w:after="120" w:line="240" w:lineRule="auto"/>
      </w:pPr>
      <w:r>
        <w:rPr>
          <w:b w:val="0"/>
          <w:sz w:val="22"/>
        </w:rPr>
        <w:t>Trust List listing and Generator programs are under review. Public copy, portal, and this paper use only under-review wording — never listing-complete or approved.</w:t>
      </w:r>
    </w:p>
    <w:p>
      <w:pPr>
        <w:spacing w:after="120" w:line="240" w:lineRule="auto"/>
      </w:pPr>
      <w:r>
        <w:rPr>
          <w:b w:val="0"/>
          <w:sz w:val="22"/>
        </w:rPr>
        <w:t>Copyrighted portal (C-2026-036487) is the public expression of this governance. Hierarchical manifests (M1–M3) and three-lane signing gates connect to patents 07·08.</w:t>
      </w:r>
    </w:p>
    <w:p>
      <w:pPr>
        <w:pStyle w:val="Heading1"/>
      </w:pPr>
      <w:r>
        <w:rPr>
          <w:b/>
          <w:sz w:val="28"/>
        </w:rPr>
        <w:t>4.C.4 Kerangka eksternal &amp; keanggotaan (status terperinci)</w:t>
      </w:r>
    </w:p>
    <w:p>
      <w:pPr>
        <w:spacing w:after="120" w:line="240" w:lineRule="auto"/>
      </w:pPr>
      <w:r>
        <w:rPr>
          <w:b w:val="0"/>
          <w:sz w:val="22"/>
        </w:rPr>
        <w:t>Hubs: https://xenlook.com/ai-certification · https://xenlook.com/compliance</w:t>
      </w:r>
    </w:p>
    <w:p>
      <w:pPr>
        <w:pStyle w:val="ListBullet"/>
      </w:pPr>
      <w:r>
        <w:rPr>
          <w:b w:val="0"/>
          <w:sz w:val="22"/>
        </w:rPr>
        <w:t>IMDA AI Verify (Singapore) — 11-principle self-assessment complete · evidence pack in CI · not IMDA registry certification · disclosed as self-assessment</w:t>
      </w:r>
    </w:p>
    <w:p>
      <w:pPr>
        <w:pStyle w:val="ListBullet"/>
      </w:pPr>
      <w:r>
        <w:rPr>
          <w:b w:val="0"/>
          <w:sz w:val="22"/>
        </w:rPr>
        <w:t>TTA genAI / Trust Ops — self-assessment and ops mapping · no TTA CAT completion claim · CAT on roadmap when scheduled</w:t>
      </w:r>
    </w:p>
    <w:p>
      <w:pPr>
        <w:pStyle w:val="ListBullet"/>
      </w:pPr>
      <w:r>
        <w:rPr>
          <w:b w:val="0"/>
          <w:sz w:val="22"/>
        </w:rPr>
        <w:t>NIST AI RMF — function/risk mapping evidence · no NIST certificate held</w:t>
      </w:r>
    </w:p>
    <w:p>
      <w:pPr>
        <w:pStyle w:val="ListBullet"/>
      </w:pPr>
      <w:r>
        <w:rPr>
          <w:b w:val="0"/>
          <w:sz w:val="22"/>
        </w:rPr>
        <w:t>OWASP LLM Top 10 — threat-to-control mapping · not a certification program</w:t>
      </w:r>
    </w:p>
    <w:p>
      <w:pPr>
        <w:pStyle w:val="ListBullet"/>
      </w:pPr>
      <w:r>
        <w:rPr>
          <w:b w:val="0"/>
          <w:sz w:val="22"/>
        </w:rPr>
        <w:t>CSA STAR Level 1 — registry listing · self-assessment character · listed 2026-06-12 publication</w:t>
      </w:r>
    </w:p>
    <w:p>
      <w:pPr>
        <w:pStyle w:val="ListBullet"/>
      </w:pPr>
      <w:r>
        <w:rPr>
          <w:b w:val="0"/>
          <w:sz w:val="22"/>
        </w:rPr>
        <w:t>CAI membership — listed member</w:t>
      </w:r>
    </w:p>
    <w:p>
      <w:pPr>
        <w:pStyle w:val="ListBullet"/>
      </w:pPr>
      <w:r>
        <w:rPr>
          <w:b w:val="0"/>
          <w:sz w:val="22"/>
        </w:rPr>
        <w:t>C2PA CA Agreement — signed · Trust List &amp; Generator under review (see 4.C.3)</w:t>
      </w:r>
    </w:p>
    <w:p>
      <w:pPr>
        <w:pStyle w:val="ListBullet"/>
      </w:pPr>
      <w:r>
        <w:rPr>
          <w:b w:val="0"/>
          <w:sz w:val="22"/>
        </w:rPr>
        <w:t>NVIDIA Inception — Stage 1</w:t>
      </w:r>
    </w:p>
    <w:p>
      <w:pPr>
        <w:pStyle w:val="ListBullet"/>
      </w:pPr>
      <w:r>
        <w:rPr>
          <w:b w:val="0"/>
          <w:sz w:val="22"/>
        </w:rPr>
        <w:t>EU CE / CRA — readiness residual tracking · no CE marking / DoC-complete claim</w:t>
      </w:r>
    </w:p>
    <w:p>
      <w:pPr>
        <w:pStyle w:val="ListBullet"/>
      </w:pPr>
      <w:r>
        <w:rPr>
          <w:b w:val="0"/>
          <w:sz w:val="22"/>
        </w:rPr>
        <w:t>WCAG 2.2 AA — internal accessibility gate · not a substitute for third-party audit certificates</w:t>
      </w:r>
    </w:p>
    <w:p>
      <w:pPr>
        <w:pStyle w:val="ListBullet"/>
      </w:pPr>
      <w:r>
        <w:rPr>
          <w:b w:val="0"/>
          <w:sz w:val="22"/>
        </w:rPr>
        <w:t>Korea AI Basic Act checklist — internal review and user notices · not a government certification</w:t>
      </w:r>
    </w:p>
    <w:p>
      <w:pPr>
        <w:pStyle w:val="ListBullet"/>
      </w:pPr>
      <w:r>
        <w:rPr>
          <w:b w:val="0"/>
          <w:sz w:val="22"/>
        </w:rPr>
        <w:t>Japan AI guidelines · US disclosures · EU Art.50 work — documented in jurisdiction hubs · not Certified-complete</w:t>
      </w:r>
    </w:p>
    <w:p>
      <w:pPr>
        <w:pStyle w:val="Heading1"/>
      </w:pPr>
      <w:r>
        <w:rPr>
          <w:b/>
          <w:sz w:val="28"/>
        </w:rPr>
        <w:t>4.C.5 Pengikatan tata kelola ke paten dan hak cipta</w:t>
      </w:r>
    </w:p>
    <w:p>
      <w:pPr>
        <w:pStyle w:val="ListBullet"/>
      </w:pPr>
      <w:r>
        <w:rPr>
          <w:b w:val="0"/>
          <w:sz w:val="22"/>
        </w:rPr>
        <w:t>Pre-LLM safety &amp; uncalled-engine trace (patent 09) ↔ Constitution · On quality policy</w:t>
      </w:r>
    </w:p>
    <w:p>
      <w:pPr>
        <w:pStyle w:val="ListBullet"/>
      </w:pPr>
      <w:r>
        <w:rPr>
          <w:b w:val="0"/>
          <w:sz w:val="22"/>
        </w:rPr>
        <w:t>Minor surface gate (patent 10) ↔ Landing/On notices and gate UI</w:t>
      </w:r>
    </w:p>
    <w:p>
      <w:pPr>
        <w:pStyle w:val="ListBullet"/>
      </w:pPr>
      <w:r>
        <w:rPr>
          <w:b w:val="0"/>
          <w:sz w:val="22"/>
        </w:rPr>
        <w:t>Provenance M1–M3 · three-lane signing (patents 07·08) ↔ C2PA portal copyright · Trust List under-review disclosure</w:t>
      </w:r>
    </w:p>
    <w:p>
      <w:pPr>
        <w:pStyle w:val="ListBullet"/>
      </w:pPr>
      <w:r>
        <w:rPr>
          <w:b w:val="0"/>
          <w:sz w:val="22"/>
        </w:rPr>
        <w:t>Pre-publish verify/audit (patent 01) ↔ Signal · Landing compliance surfaces</w:t>
      </w:r>
    </w:p>
    <w:p>
      <w:pPr>
        <w:pStyle w:val="ListBullet"/>
      </w:pPr>
      <w:r>
        <w:rPr>
          <w:b w:val="0"/>
          <w:sz w:val="22"/>
        </w:rPr>
        <w:t>Framework self-assessment/listed/under-review table (4.C.4) ↔ /ai-certification hub</w:t>
      </w:r>
    </w:p>
    <w:p>
      <w:pPr>
        <w:pStyle w:val="Heading1"/>
      </w:pPr>
      <w:r>
        <w:rPr>
          <w:b/>
          <w:sz w:val="28"/>
        </w:rPr>
        <w:t>5. Bagaimana teknologi inti merakit produk</w:t>
      </w:r>
    </w:p>
    <w:p>
      <w:pPr>
        <w:pStyle w:val="ListBullet"/>
      </w:pPr>
      <w:r>
        <w:rPr>
          <w:b w:val="0"/>
          <w:sz w:val="22"/>
        </w:rPr>
        <w:t>Partner chat (On copyright): patents 04·05·06·09·10 + 4.C.2 safety/quality</w:t>
      </w:r>
    </w:p>
    <w:p>
      <w:pPr>
        <w:pStyle w:val="ListBullet"/>
      </w:pPr>
      <w:r>
        <w:rPr>
          <w:b w:val="0"/>
          <w:sz w:val="22"/>
        </w:rPr>
        <w:t>Media/gallery: patents 08(+07) + C2PA portal copyright + 4.C.3 under-review disclosure</w:t>
      </w:r>
    </w:p>
    <w:p>
      <w:pPr>
        <w:pStyle w:val="ListBullet"/>
      </w:pPr>
      <w:r>
        <w:rPr>
          <w:b w:val="0"/>
          <w:sz w:val="22"/>
        </w:rPr>
        <w:t>Campus/studio: patents 02·03 + patent 01 pre-publish verification</w:t>
      </w:r>
    </w:p>
    <w:p>
      <w:pPr>
        <w:pStyle w:val="ListBullet"/>
      </w:pPr>
      <w:r>
        <w:rPr>
          <w:b w:val="0"/>
          <w:sz w:val="22"/>
        </w:rPr>
        <w:t>Public trust hub (Landing copyright): 4.C.4 framework detail + IP disclosure</w:t>
      </w:r>
    </w:p>
    <w:p>
      <w:pPr>
        <w:pStyle w:val="Heading1"/>
      </w:pPr>
      <w:r>
        <w:rPr>
          <w:b/>
          <w:sz w:val="28"/>
        </w:rPr>
        <w:t>6. Merek</w:t>
      </w:r>
    </w:p>
    <w:p>
      <w:pPr>
        <w:pStyle w:val="ListBullet"/>
      </w:pPr>
      <w:r>
        <w:rPr>
          <w:b w:val="0"/>
          <w:sz w:val="22"/>
        </w:rPr>
        <w:t>Mark: XENLOOK wordmark</w:t>
      </w:r>
    </w:p>
    <w:p>
      <w:pPr>
        <w:pStyle w:val="ListBullet"/>
      </w:pPr>
      <w:r>
        <w:rPr>
          <w:b w:val="0"/>
          <w:sz w:val="22"/>
        </w:rPr>
        <w:t>Application No.: 40-2026-0119385</w:t>
      </w:r>
    </w:p>
    <w:p>
      <w:pPr>
        <w:pStyle w:val="ListBullet"/>
      </w:pPr>
      <w:r>
        <w:rPr>
          <w:b w:val="0"/>
          <w:sz w:val="22"/>
        </w:rPr>
        <w:t>Receipt No.: 1-1-2026-0720692-53 · filed 2026-06-13</w:t>
      </w:r>
    </w:p>
    <w:p>
      <w:pPr>
        <w:pStyle w:val="ListBullet"/>
      </w:pPr>
      <w:r>
        <w:rPr>
          <w:b w:val="0"/>
          <w:sz w:val="22"/>
        </w:rPr>
        <w:t>Document: trademark application (3 classes including Class 09)</w:t>
      </w:r>
    </w:p>
    <w:p>
      <w:pPr>
        <w:pStyle w:val="ListBullet"/>
      </w:pPr>
      <w:r>
        <w:rPr>
          <w:b w:val="0"/>
          <w:sz w:val="22"/>
        </w:rPr>
        <w:t>Status: filed · not registered</w:t>
      </w:r>
    </w:p>
    <w:p>
      <w:pPr>
        <w:pStyle w:val="Heading1"/>
      </w:pPr>
      <w:r>
        <w:rPr>
          <w:b/>
          <w:sz w:val="28"/>
        </w:rPr>
        <w:t>7. Lingkup dan batasan</w:t>
      </w:r>
    </w:p>
    <w:p>
      <w:pPr>
        <w:pStyle w:val="ListBullet"/>
      </w:pPr>
      <w:r>
        <w:rPr>
          <w:b w:val="0"/>
          <w:sz w:val="22"/>
        </w:rPr>
        <w:t>Includes: patent problem/structure/effect, technical role of copyright registrations, detailed trust governance, trademark, 2027 roadmap</w:t>
      </w:r>
    </w:p>
    <w:p>
      <w:pPr>
        <w:pStyle w:val="ListBullet"/>
      </w:pPr>
      <w:r>
        <w:rPr>
          <w:b w:val="0"/>
          <w:sz w:val="22"/>
        </w:rPr>
        <w:t>Excludes: full claims, full drawings, model weights, training-mix detail</w:t>
      </w:r>
    </w:p>
    <w:p>
      <w:pPr>
        <w:pStyle w:val="ListBullet"/>
      </w:pPr>
      <w:r>
        <w:rPr>
          <w:b w:val="0"/>
          <w:sz w:val="22"/>
        </w:rPr>
        <w:t>ASB: concept only · no implementation-complete claim</w:t>
      </w:r>
    </w:p>
    <w:p>
      <w:pPr>
        <w:pStyle w:val="ListBullet"/>
      </w:pPr>
      <w:r>
        <w:rPr>
          <w:b w:val="0"/>
          <w:sz w:val="22"/>
        </w:rPr>
        <w:t>Specification metrics = applicant self-measurement · not external lab grades</w:t>
      </w:r>
    </w:p>
    <w:p>
      <w:pPr>
        <w:pStyle w:val="ListBullet"/>
      </w:pPr>
      <w:r>
        <w:rPr>
          <w:b w:val="0"/>
          <w:sz w:val="22"/>
        </w:rPr>
        <w:t>No product-100 or legal-clearance-complete declaration</w:t>
      </w:r>
    </w:p>
    <w:p>
      <w:pPr>
        <w:pStyle w:val="Heading1"/>
      </w:pPr>
      <w:r>
        <w:rPr>
          <w:b/>
          <w:sz w:val="28"/>
        </w:rPr>
        <w:t>8. Peta jalan produk (2027)</w:t>
      </w:r>
    </w:p>
    <w:p>
      <w:pPr>
        <w:pStyle w:val="ListBullet"/>
      </w:pPr>
      <w:r>
        <w:rPr>
          <w:b w:val="0"/>
          <w:sz w:val="22"/>
        </w:rPr>
        <w:t>2027 Q1 — XenLook Guild open</w:t>
      </w:r>
    </w:p>
    <w:p>
      <w:pPr>
        <w:pStyle w:val="ListBullet"/>
      </w:pPr>
      <w:r>
        <w:rPr>
          <w:b w:val="0"/>
          <w:sz w:val="22"/>
        </w:rPr>
        <w:t>2027 Q1 — Agent Standard Brain (ASB) concept disclosure</w:t>
      </w:r>
    </w:p>
    <w:p>
      <w:pPr>
        <w:pStyle w:val="ListBullet"/>
      </w:pPr>
      <w:r>
        <w:rPr>
          <w:b w:val="0"/>
          <w:sz w:val="22"/>
        </w:rPr>
        <w:t>2027 Q2–Q3 — XenLook World</w:t>
      </w:r>
    </w:p>
    <w:p>
      <w:pPr>
        <w:pStyle w:val="ListBullet"/>
      </w:pPr>
      <w:r>
        <w:rPr>
          <w:b w:val="0"/>
          <w:sz w:val="22"/>
        </w:rPr>
        <w:t>2027 Q4 — Agent OS open</w:t>
      </w:r>
    </w:p>
    <w:p>
      <w:pPr>
        <w:pStyle w:val="ListBullet"/>
      </w:pPr>
      <w:r>
        <w:rPr>
          <w:b w:val="0"/>
          <w:sz w:val="22"/>
        </w:rPr>
        <w:t>Parallel — C2PA Trust List/Generator review · KR→JP CA · patent examination requests per budget/schedule</w:t>
      </w:r>
    </w:p>
    <w:p>
      <w:pPr>
        <w:pStyle w:val="Heading1"/>
      </w:pPr>
      <w:r>
        <w:rPr>
          <w:b/>
          <w:sz w:val="28"/>
        </w:rPr>
        <w:t>9. Kesimpulan</w:t>
      </w:r>
    </w:p>
    <w:p>
      <w:pPr>
        <w:spacing w:after="120" w:line="240" w:lineRule="auto"/>
      </w:pPr>
      <w:r>
        <w:rPr>
          <w:b w:val="0"/>
          <w:sz w:val="22"/>
        </w:rPr>
        <w:t>Core technology is ten patents, five copyrights, and trust/governance detailed inside that core. We do not replace engineering with certification badges, nor confuse under-review, self-assessment, and registry listing.</w:t>
      </w:r>
    </w:p>
    <w:p>
      <w:pPr>
        <w:pStyle w:val="Heading1"/>
      </w:pPr>
      <w:r>
        <w:rPr>
          <w:b/>
          <w:sz w:val="28"/>
        </w:rPr>
        <w:t>Lampiran A. Permukaan publik &amp; indeks</w:t>
      </w:r>
    </w:p>
    <w:p>
      <w:pPr>
        <w:pStyle w:val="ListBullet"/>
      </w:pPr>
      <w:r>
        <w:rPr>
          <w:b w:val="0"/>
          <w:sz w:val="22"/>
        </w:rPr>
        <w:t>https://xenlook.com</w:t>
      </w:r>
    </w:p>
    <w:p>
      <w:pPr>
        <w:pStyle w:val="ListBullet"/>
      </w:pPr>
      <w:r>
        <w:rPr>
          <w:b w:val="0"/>
          <w:sz w:val="22"/>
        </w:rPr>
        <w:t>https://on.xenlook.com</w:t>
      </w:r>
    </w:p>
    <w:p>
      <w:pPr>
        <w:pStyle w:val="ListBullet"/>
      </w:pPr>
      <w:r>
        <w:rPr>
          <w:b w:val="0"/>
          <w:sz w:val="22"/>
        </w:rPr>
        <w:t>https://c2pa.xenlook.com</w:t>
      </w:r>
    </w:p>
    <w:p>
      <w:pPr>
        <w:pStyle w:val="ListBullet"/>
      </w:pPr>
      <w:r>
        <w:rPr>
          <w:b w:val="0"/>
          <w:sz w:val="22"/>
        </w:rPr>
        <w:t>https://xenlook.com/ai-certification</w:t>
      </w:r>
    </w:p>
    <w:p>
      <w:pPr>
        <w:pStyle w:val="ListBullet"/>
      </w:pPr>
      <w:r>
        <w:rPr>
          <w:b w:val="0"/>
          <w:sz w:val="22"/>
        </w:rPr>
        <w:t>https://xenlook.com/ip-protection</w:t>
      </w:r>
    </w:p>
    <w:p>
      <w:pPr>
        <w:pStyle w:val="ListBullet"/>
      </w:pPr>
      <w:r>
        <w:rPr>
          <w:b w:val="0"/>
          <w:sz w:val="22"/>
        </w:rPr>
        <w:t>This white paper: https://xenlook.com/ai-certification#tech-cert-whitepaper</w:t>
      </w:r>
    </w:p>
    <w:p>
      <w:pPr>
        <w:pStyle w:val="Heading1"/>
      </w:pPr>
      <w:r>
        <w:rPr>
          <w:b/>
          <w:sz w:val="28"/>
        </w:rPr>
        <w:t>Lampiran B. Glosarium</w:t>
      </w:r>
    </w:p>
    <w:p>
      <w:pPr>
        <w:pStyle w:val="ListBullet"/>
      </w:pPr>
      <w:r>
        <w:rPr>
          <w:b w:val="0"/>
          <w:sz w:val="22"/>
        </w:rPr>
        <w:t>SOUL / IDENTITY / CHRONICLE — soul, identity, life-story documents</w:t>
      </w:r>
    </w:p>
    <w:p>
      <w:pPr>
        <w:pStyle w:val="ListBullet"/>
      </w:pPr>
      <w:r>
        <w:rPr>
          <w:b w:val="0"/>
          <w:sz w:val="22"/>
        </w:rPr>
        <w:t>surface — service face keyed by API path</w:t>
      </w:r>
    </w:p>
    <w:p>
      <w:pPr>
        <w:pStyle w:val="ListBullet"/>
      </w:pPr>
      <w:r>
        <w:rPr>
          <w:b w:val="0"/>
          <w:sz w:val="22"/>
        </w:rPr>
        <w:t>personaPackHash — persona pack hash injected identically across three lanes</w:t>
      </w:r>
    </w:p>
    <w:p>
      <w:pPr>
        <w:pStyle w:val="ListBullet"/>
      </w:pPr>
      <w:r>
        <w:rPr>
          <w:b w:val="0"/>
          <w:sz w:val="22"/>
        </w:rPr>
        <w:t>C2PA — Content Provenance and Authenticity</w:t>
      </w:r>
    </w:p>
    <w:p>
      <w:pPr>
        <w:pStyle w:val="ListBullet"/>
      </w:pPr>
      <w:r>
        <w:rPr>
          <w:b w:val="0"/>
          <w:sz w:val="22"/>
        </w:rPr>
        <w:t>self-assessment / listed / under review / roadmap / not held — status definitions in 4.C.1</w:t>
      </w:r>
    </w:p>
    <w:p>
      <w:pPr>
        <w:pStyle w:val="ListBullet"/>
      </w:pPr>
      <w:r>
        <w:rPr>
          <w:b w:val="0"/>
          <w:sz w:val="22"/>
        </w:rPr>
        <w:t>ASB — Agent Standard Brain · concept only</w:t>
      </w:r>
    </w:p>
    <w:p>
      <w:pPr>
        <w:pStyle w:val="ListBullet"/>
      </w:pPr>
      <w:r>
        <w:rPr>
          <w:b w:val="0"/>
          <w:sz w:val="22"/>
        </w:rPr>
        <w:t>KR→JP CA — C2PA CA territory</w:t>
      </w:r>
    </w:p>
    <w:p/>
    <w:p>
      <w:pPr>
        <w:spacing w:after="120" w:line="240" w:lineRule="auto"/>
      </w:pPr>
      <w:r>
        <w:rPr>
          <w:b/>
          <w:sz w:val="22"/>
        </w:rPr>
        <w:t>Kontak: help@xenlook.com · XenLook Inc. · https://xenlook.com</w:t>
      </w:r>
    </w:p>
    <w:p>
      <w:pPr>
        <w:spacing w:after="120" w:line="240" w:lineRule="auto"/>
        <w:jc w:val="center"/>
      </w:pPr>
      <w:r>
        <w:rPr>
          <w:b w:val="0"/>
          <w:color w:val="64748B"/>
          <w:sz w:val="18"/>
        </w:rPr>
        <w:t>© 2026 XenLook Inc. · Buku putih teknis · edisi 12 bahasa · EN→KO→JA→ZH→…</w:t>
      </w:r>
    </w:p>
    <w:p>
      <w:r>
        <w:br w:type="page"/>
      </w:r>
    </w:p>
    <w:p>
      <w:pPr>
        <w:spacing w:after="120" w:line="240" w:lineRule="auto"/>
        <w:jc w:val="center"/>
      </w:pPr>
      <w:r>
        <w:rPr>
          <w:rFonts w:ascii="Noto Naskh Arabic" w:hAnsi="Noto Naskh Arabic" w:eastAsia="Noto Naskh Arabic" w:cs="Noto Naskh Arabic"/>
          <w:b/>
          <w:color w:val="0EA5E9"/>
          <w:sz w:val="52"/>
        </w:rPr>
        <w:t>XENLOOK</w:t>
      </w:r>
    </w:p>
    <w:p>
      <w:pPr>
        <w:spacing w:after="120" w:line="240" w:lineRule="auto"/>
        <w:jc w:val="center"/>
      </w:pPr>
      <w:r>
        <w:rPr>
          <w:rFonts w:ascii="Noto Naskh Arabic" w:hAnsi="Noto Naskh Arabic" w:eastAsia="Noto Naskh Arabic" w:cs="Noto Naskh Arabic"/>
          <w:b/>
          <w:sz w:val="36"/>
        </w:rPr>
        <w:t>الورقة التقنية XENLOOK</w:t>
      </w:r>
    </w:p>
    <w:p>
      <w:pPr>
        <w:spacing w:after="120" w:line="240" w:lineRule="auto"/>
        <w:jc w:val="center"/>
      </w:pPr>
      <w:r>
        <w:rPr>
          <w:rFonts w:ascii="Noto Naskh Arabic" w:hAnsi="Noto Naskh Arabic" w:eastAsia="Noto Naskh Arabic" w:cs="Noto Naskh Arabic"/>
          <w:b w:val="0"/>
          <w:color w:val="64748B"/>
          <w:sz w:val="24"/>
        </w:rPr>
        <w:t>الطبعة المدمجة · التقنية الأساسية (براءات · حقوق تأليف · حوكمة الثقة) · علامة · خارطة طريق · 12 لغة</w:t>
      </w:r>
    </w:p>
    <w:p>
      <w:pPr>
        <w:spacing w:after="120" w:line="240" w:lineRule="auto"/>
        <w:jc w:val="center"/>
      </w:pPr>
      <w:r>
        <w:rPr>
          <w:rFonts w:ascii="Noto Naskh Arabic" w:hAnsi="Noto Naskh Arabic" w:eastAsia="Noto Naskh Arabic" w:cs="Noto Naskh Arabic"/>
          <w:b w:val="0"/>
          <w:i/>
          <w:sz w:val="20"/>
        </w:rPr>
        <w:t>XenLook Inc. · أغسطس 2026 · Version 2026-08-07-ALL-r2</w:t>
      </w:r>
    </w:p>
    <w:p>
      <w:pPr>
        <w:spacing w:after="120" w:line="240" w:lineRule="auto"/>
        <w:jc w:val="center"/>
      </w:pPr>
      <w:r>
        <w:rPr>
          <w:rFonts w:ascii="Noto Naskh Arabic" w:hAnsi="Noto Naskh Arabic" w:eastAsia="Noto Naskh Arabic" w:cs="Noto Naskh Arabic"/>
          <w:b w:val="0"/>
          <w:sz w:val="18"/>
        </w:rPr>
        <w:t>العربية · ar</w:t>
      </w:r>
    </w:p>
    <w:p/>
    <w:p>
      <w:pPr>
        <w:spacing w:after="120" w:line="240" w:lineRule="auto"/>
      </w:pPr>
      <w:r>
        <w:rPr>
          <w:rFonts w:ascii="Noto Naskh Arabic" w:hAnsi="Noto Naskh Arabic" w:eastAsia="Noto Naskh Arabic" w:cs="Noto Naskh Arabic"/>
          <w:b w:val="0"/>
          <w:sz w:val="22"/>
        </w:rPr>
        <w:t>تتكون التقنية الأساسية من ثلاثة محاور: عشر براءات، وخمس حقوق تأليف، وحوكمة ثقة مفصّلة داخل فصل التقنية الأساسية. البراءات والعلامة: مودَعة وغير مسجّلة بعد. قائمة ثقة C2PA والمولّد: قيد المراجعة. ASB مفهوم فقط.</w:t>
      </w:r>
    </w:p>
    <w:p>
      <w:pPr>
        <w:pStyle w:val="Heading1"/>
      </w:pPr>
      <w:r>
        <w:rPr>
          <w:rFonts w:ascii="Noto Naskh Arabic" w:hAnsi="Noto Naskh Arabic" w:eastAsia="Noto Naskh Arabic" w:cs="Noto Naskh Arabic"/>
          <w:b/>
          <w:sz w:val="28"/>
        </w:rPr>
        <w:t>1. الملخص</w:t>
      </w:r>
    </w:p>
    <w:p>
      <w:pPr>
        <w:spacing w:after="120" w:line="240" w:lineRule="auto"/>
      </w:pPr>
      <w:r>
        <w:rPr>
          <w:rFonts w:ascii="Noto Naskh Arabic" w:hAnsi="Noto Naskh Arabic" w:eastAsia="Noto Naskh Arabic" w:cs="Noto Naskh Arabic"/>
          <w:b w:val="0"/>
          <w:sz w:val="22"/>
        </w:rPr>
        <w:t>XenLook is a global AI companion and creative platform. Korea-first beta combines partner dialogue, multi-agent personas, provenance-aware media, and minor-protection gates in one operating system.</w:t>
      </w:r>
    </w:p>
    <w:p>
      <w:pPr>
        <w:spacing w:after="120" w:line="240" w:lineRule="auto"/>
      </w:pPr>
      <w:r>
        <w:rPr>
          <w:rFonts w:ascii="Noto Naskh Arabic" w:hAnsi="Noto Naskh Arabic" w:eastAsia="Noto Naskh Arabic" w:cs="Noto Naskh Arabic"/>
          <w:b w:val="0"/>
          <w:sz w:val="22"/>
        </w:rPr>
        <w:t>Core technology is not a pipeline slogan. Invention (patents), expression (copyrights), and operational trust (governance) are the body of this paper.</w:t>
      </w:r>
    </w:p>
    <w:p>
      <w:pPr>
        <w:pStyle w:val="ListBullet"/>
      </w:pPr>
      <w:r>
        <w:rPr>
          <w:rFonts w:ascii="Noto Naskh Arabic" w:hAnsi="Noto Naskh Arabic" w:eastAsia="Noto Naskh Arabic" w:cs="Noto Naskh Arabic"/>
          <w:b w:val="0"/>
          <w:sz w:val="22"/>
        </w:rPr>
        <w:t>Core A — 10 patents (KIPO filed · examination request pending · not registered)</w:t>
      </w:r>
    </w:p>
    <w:p>
      <w:pPr>
        <w:pStyle w:val="ListBullet"/>
      </w:pPr>
      <w:r>
        <w:rPr>
          <w:rFonts w:ascii="Noto Naskh Arabic" w:hAnsi="Noto Naskh Arabic" w:eastAsia="Noto Naskh Arabic" w:cs="Noto Naskh Arabic"/>
          <w:b w:val="0"/>
          <w:sz w:val="22"/>
        </w:rPr>
        <w:t>Core B — 5 copyrights (Korea Copyright Commission · certificate-verified)</w:t>
      </w:r>
    </w:p>
    <w:p>
      <w:pPr>
        <w:pStyle w:val="ListBullet"/>
      </w:pPr>
      <w:r>
        <w:rPr>
          <w:rFonts w:ascii="Noto Naskh Arabic" w:hAnsi="Noto Naskh Arabic" w:eastAsia="Noto Naskh Arabic" w:cs="Noto Naskh Arabic"/>
          <w:b w:val="0"/>
          <w:sz w:val="22"/>
        </w:rPr>
        <w:t>Core C — Trust &amp; governance (status definitions · framework detail · inside core chapter)</w:t>
      </w:r>
    </w:p>
    <w:p>
      <w:pPr>
        <w:pStyle w:val="ListBullet"/>
      </w:pPr>
      <w:r>
        <w:rPr>
          <w:rFonts w:ascii="Noto Naskh Arabic" w:hAnsi="Noto Naskh Arabic" w:eastAsia="Noto Naskh Arabic" w:cs="Noto Naskh Arabic"/>
          <w:b w:val="0"/>
          <w:sz w:val="22"/>
        </w:rPr>
        <w:t>Trademark — XENLOOK wordmark application 40-2026-0119385 (filed, not registered)</w:t>
      </w:r>
    </w:p>
    <w:p>
      <w:pPr>
        <w:pStyle w:val="ListBullet"/>
      </w:pPr>
      <w:r>
        <w:rPr>
          <w:rFonts w:ascii="Noto Naskh Arabic" w:hAnsi="Noto Naskh Arabic" w:eastAsia="Noto Naskh Arabic" w:cs="Noto Naskh Arabic"/>
          <w:b w:val="0"/>
          <w:sz w:val="22"/>
        </w:rPr>
        <w:t>C2PA CA territory: Korea→Japan (KR→JP). No global CA claim.</w:t>
      </w:r>
    </w:p>
    <w:p>
      <w:pPr>
        <w:pStyle w:val="Heading1"/>
      </w:pPr>
      <w:r>
        <w:rPr>
          <w:rFonts w:ascii="Noto Naskh Arabic" w:hAnsi="Noto Naskh Arabic" w:eastAsia="Noto Naskh Arabic" w:cs="Noto Naskh Arabic"/>
          <w:b/>
          <w:sz w:val="28"/>
        </w:rPr>
        <w:t>2. المقدمة — ماذا نبني</w:t>
      </w:r>
    </w:p>
    <w:p>
      <w:pPr>
        <w:spacing w:after="120" w:line="240" w:lineRule="auto"/>
      </w:pPr>
      <w:r>
        <w:rPr>
          <w:rFonts w:ascii="Noto Naskh Arabic" w:hAnsi="Noto Naskh Arabic" w:eastAsia="Noto Naskh Arabic" w:cs="Noto Naskh Arabic"/>
          <w:b w:val="0"/>
          <w:sz w:val="22"/>
        </w:rPr>
        <w:t>Competition in generative AI is not only reply quality. Persona persistence, per-turn safety and cost tracing, content provenance, minor policies, and honest disclosure of external trust frameworks are the technical substance.</w:t>
      </w:r>
    </w:p>
    <w:p>
      <w:pPr>
        <w:spacing w:after="120" w:line="240" w:lineRule="auto"/>
      </w:pPr>
      <w:r>
        <w:rPr>
          <w:rFonts w:ascii="Noto Naskh Arabic" w:hAnsi="Noto Naskh Arabic" w:eastAsia="Noto Naskh Arabic" w:cs="Noto Naskh Arabic"/>
          <w:b w:val="0"/>
          <w:sz w:val="22"/>
        </w:rPr>
        <w:t>XenLook protects that substance with patents, registers product and constitutional expressions as copyrights, and documents trust operations inside the core-technology chapter.</w:t>
      </w:r>
    </w:p>
    <w:p>
      <w:pPr>
        <w:pStyle w:val="Heading1"/>
      </w:pPr>
      <w:r>
        <w:rPr>
          <w:rFonts w:ascii="Noto Naskh Arabic" w:hAnsi="Noto Naskh Arabic" w:eastAsia="Noto Naskh Arabic" w:cs="Noto Naskh Arabic"/>
          <w:b/>
          <w:sz w:val="28"/>
        </w:rPr>
        <w:t>3. تعريف المشكلة</w:t>
      </w:r>
    </w:p>
    <w:p>
      <w:pPr>
        <w:spacing w:after="120" w:line="240" w:lineRule="auto"/>
      </w:pPr>
      <w:r>
        <w:rPr>
          <w:rFonts w:ascii="Noto Naskh Arabic" w:hAnsi="Noto Naskh Arabic" w:eastAsia="Noto Naskh Arabic" w:cs="Noto Naskh Arabic"/>
          <w:b w:val="0"/>
          <w:sz w:val="22"/>
        </w:rPr>
        <w:t>Recurring failure modes in public services map to the three core axes as follows.</w:t>
      </w:r>
    </w:p>
    <w:p>
      <w:pPr>
        <w:pStyle w:val="ListBullet"/>
      </w:pPr>
      <w:r>
        <w:rPr>
          <w:rFonts w:ascii="Noto Naskh Arabic" w:hAnsi="Noto Naskh Arabic" w:eastAsia="Noto Naskh Arabic" w:cs="Noto Naskh Arabic"/>
          <w:b w:val="0"/>
          <w:sz w:val="22"/>
        </w:rPr>
        <w:t>Speech-act / multi-intent collapse → Patent 04</w:t>
      </w:r>
    </w:p>
    <w:p>
      <w:pPr>
        <w:pStyle w:val="ListBullet"/>
      </w:pPr>
      <w:r>
        <w:rPr>
          <w:rFonts w:ascii="Noto Naskh Arabic" w:hAnsi="Noto Naskh Arabic" w:eastAsia="Noto Naskh Arabic" w:cs="Noto Naskh Arabic"/>
          <w:b w:val="0"/>
          <w:sz w:val="22"/>
        </w:rPr>
        <w:t>Identity dilution / context collapse → Patent 05 · copyrights (On · Constitution)</w:t>
      </w:r>
    </w:p>
    <w:p>
      <w:pPr>
        <w:pStyle w:val="ListBullet"/>
      </w:pPr>
      <w:r>
        <w:rPr>
          <w:rFonts w:ascii="Noto Naskh Arabic" w:hAnsi="Noto Naskh Arabic" w:eastAsia="Noto Naskh Arabic" w:cs="Noto Naskh Arabic"/>
          <w:b w:val="0"/>
          <w:sz w:val="22"/>
        </w:rPr>
        <w:t>Agent lifecycle vacuum → Patent 06</w:t>
      </w:r>
    </w:p>
    <w:p>
      <w:pPr>
        <w:pStyle w:val="ListBullet"/>
      </w:pPr>
      <w:r>
        <w:rPr>
          <w:rFonts w:ascii="Noto Naskh Arabic" w:hAnsi="Noto Naskh Arabic" w:eastAsia="Noto Naskh Arabic" w:cs="Noto Naskh Arabic"/>
          <w:b w:val="0"/>
          <w:sz w:val="22"/>
        </w:rPr>
        <w:t>Media lane mismatch / missing provenance → Patents 07·08 · copyright (C2PA portal)</w:t>
      </w:r>
    </w:p>
    <w:p>
      <w:pPr>
        <w:pStyle w:val="ListBullet"/>
      </w:pPr>
      <w:r>
        <w:rPr>
          <w:rFonts w:ascii="Noto Naskh Arabic" w:hAnsi="Noto Naskh Arabic" w:eastAsia="Noto Naskh Arabic" w:cs="Noto Naskh Arabic"/>
          <w:b w:val="0"/>
          <w:sz w:val="22"/>
        </w:rPr>
        <w:t>All-engine calls / post-hoc safety / broken audit → Patents 01·09</w:t>
      </w:r>
    </w:p>
    <w:p>
      <w:pPr>
        <w:pStyle w:val="ListBullet"/>
      </w:pPr>
      <w:r>
        <w:rPr>
          <w:rFonts w:ascii="Noto Naskh Arabic" w:hAnsi="Noto Naskh Arabic" w:eastAsia="Noto Naskh Arabic" w:cs="Noto Naskh Arabic"/>
          <w:b w:val="0"/>
          <w:sz w:val="22"/>
        </w:rPr>
        <w:t>Minor surface leakage → Patent 10</w:t>
      </w:r>
    </w:p>
    <w:p>
      <w:pPr>
        <w:pStyle w:val="ListBullet"/>
      </w:pPr>
      <w:r>
        <w:rPr>
          <w:rFonts w:ascii="Noto Naskh Arabic" w:hAnsi="Noto Naskh Arabic" w:eastAsia="Noto Naskh Arabic" w:cs="Noto Naskh Arabic"/>
          <w:b w:val="0"/>
          <w:sz w:val="22"/>
        </w:rPr>
        <w:t>Campus / studio tracking gaps → Patents 02·03</w:t>
      </w:r>
    </w:p>
    <w:p>
      <w:pPr>
        <w:pStyle w:val="ListBullet"/>
      </w:pPr>
      <w:r>
        <w:rPr>
          <w:rFonts w:ascii="Noto Naskh Arabic" w:hAnsi="Noto Naskh Arabic" w:eastAsia="Noto Naskh Arabic" w:cs="Noto Naskh Arabic"/>
          <w:b w:val="0"/>
          <w:sz w:val="22"/>
        </w:rPr>
        <w:t>Overstated certification / status confusion → Core C trust-governance definitions and tables</w:t>
      </w:r>
    </w:p>
    <w:p>
      <w:pPr>
        <w:pStyle w:val="Heading1"/>
      </w:pPr>
      <w:r>
        <w:rPr>
          <w:rFonts w:ascii="Noto Naskh Arabic" w:hAnsi="Noto Naskh Arabic" w:eastAsia="Noto Naskh Arabic" w:cs="Noto Naskh Arabic"/>
          <w:b/>
          <w:sz w:val="28"/>
        </w:rPr>
        <w:t>4. التقنية الأساسية</w:t>
      </w:r>
    </w:p>
    <w:p>
      <w:pPr>
        <w:spacing w:after="120" w:line="240" w:lineRule="auto"/>
      </w:pPr>
      <w:r>
        <w:rPr>
          <w:rFonts w:ascii="Noto Naskh Arabic" w:hAnsi="Noto Naskh Arabic" w:eastAsia="Noto Naskh Arabic" w:cs="Noto Naskh Arabic"/>
          <w:b w:val="0"/>
          <w:sz w:val="22"/>
        </w:rPr>
        <w:t>Core technology is replaced by patents (A), copyrights (B), and trust governance (C). This chapter is not filled with architecture slogans alone.</w:t>
      </w:r>
    </w:p>
    <w:p>
      <w:pPr>
        <w:pStyle w:val="Heading1"/>
      </w:pPr>
      <w:r>
        <w:rPr>
          <w:rFonts w:ascii="Noto Naskh Arabic" w:hAnsi="Noto Naskh Arabic" w:eastAsia="Noto Naskh Arabic" w:cs="Noto Naskh Arabic"/>
          <w:b/>
          <w:sz w:val="28"/>
        </w:rPr>
        <w:t>4.A البراءات — عشر اختراعات طريقة/نظام</w:t>
      </w:r>
    </w:p>
    <w:p>
      <w:pPr>
        <w:spacing w:after="120" w:line="240" w:lineRule="auto"/>
      </w:pPr>
      <w:r>
        <w:rPr>
          <w:rFonts w:ascii="Noto Naskh Arabic" w:hAnsi="Noto Naskh Arabic" w:eastAsia="Noto Naskh Arabic" w:cs="Noto Naskh Arabic"/>
          <w:b w:val="0"/>
          <w:sz w:val="22"/>
        </w:rPr>
        <w:t>Status: domestic filing complete · examination request pending · not registered. Applicant: XenLook Inc. The following restates field, problem, structure, and effects from each specification for white-paper use; it does not replace full claims.</w:t>
      </w:r>
    </w:p>
    <w:p>
      <w:pPr>
        <w:pStyle w:val="Heading1"/>
      </w:pPr>
      <w:r>
        <w:rPr>
          <w:rFonts w:ascii="Noto Naskh Arabic" w:hAnsi="Noto Naskh Arabic" w:eastAsia="Noto Naskh Arabic" w:cs="Noto Naskh Arabic"/>
          <w:b/>
          <w:sz w:val="28"/>
        </w:rPr>
        <w:t>4.A.1 براءة 01 — التحقق متعدد المراحل من طلبات الذكاء الاصطناعي الخارجية والتدقيق العام</w:t>
      </w:r>
    </w:p>
    <w:p>
      <w:pPr>
        <w:spacing w:after="120" w:line="240" w:lineRule="auto"/>
      </w:pPr>
      <w:r>
        <w:rPr>
          <w:rFonts w:ascii="Noto Naskh Arabic" w:hAnsi="Noto Naskh Arabic" w:eastAsia="Noto Naskh Arabic" w:cs="Noto Naskh Arabic"/>
          <w:b w:val="0"/>
          <w:sz w:val="22"/>
        </w:rPr>
        <w:t>Application No. 10-2026-0100026.</w:t>
      </w:r>
    </w:p>
    <w:p>
      <w:pPr>
        <w:spacing w:after="120" w:line="240" w:lineRule="auto"/>
      </w:pPr>
      <w:r>
        <w:rPr>
          <w:rFonts w:ascii="Noto Naskh Arabic" w:hAnsi="Noto Naskh Arabic" w:eastAsia="Noto Naskh Arabic" w:cs="Noto Naskh Arabic"/>
          <w:b w:val="0"/>
          <w:sz w:val="22"/>
        </w:rPr>
        <w:t>Field: external AI requests, multi-engine orchestration, operational verification, auditable state for public release.</w:t>
      </w:r>
    </w:p>
    <w:p>
      <w:pPr>
        <w:spacing w:after="120" w:line="240" w:lineRule="auto"/>
      </w:pPr>
      <w:r>
        <w:rPr>
          <w:rFonts w:ascii="Noto Naskh Arabic" w:hAnsi="Noto Naskh Arabic" w:eastAsia="Noto Naskh Arabic" w:cs="Noto Naskh Arabic"/>
          <w:b w:val="0"/>
          <w:sz w:val="22"/>
        </w:rPr>
        <w:t>Problem: if create/chat/create/deploy paths are not linked to state transitions and audit records, policy breaches and missing after-the-fact evidence follow.</w:t>
      </w:r>
    </w:p>
    <w:p>
      <w:pPr>
        <w:spacing w:after="120" w:line="240" w:lineRule="auto"/>
      </w:pPr>
      <w:r>
        <w:rPr>
          <w:rFonts w:ascii="Noto Naskh Arabic" w:hAnsi="Noto Naskh Arabic" w:eastAsia="Noto Naskh Arabic" w:cs="Noto Naskh Arabic"/>
          <w:b w:val="0"/>
          <w:sz w:val="22"/>
        </w:rPr>
        <w:t>Structure: input · state collection · orchestration · engine execution · policy gate · audit log · publish/deploy. Figure axes: Gate Filter · Priority Queue · Integrity Check · Curation · Public Display · Audit Log · Safety Score.</w:t>
      </w:r>
    </w:p>
    <w:p>
      <w:pPr>
        <w:spacing w:after="120" w:line="240" w:lineRule="auto"/>
      </w:pPr>
      <w:r>
        <w:rPr>
          <w:rFonts w:ascii="Noto Naskh Arabic" w:hAnsi="Noto Naskh Arabic" w:eastAsia="Noto Naskh Arabic" w:cs="Noto Naskh Arabic"/>
          <w:b w:val="0"/>
          <w:sz w:val="22"/>
        </w:rPr>
        <w:t>Effect: structures operational stability, explainability, cost control, pre-publish review, and provenance evidence versus a single LLM call.</w:t>
      </w:r>
    </w:p>
    <w:p>
      <w:pPr>
        <w:pStyle w:val="Heading1"/>
      </w:pPr>
      <w:r>
        <w:rPr>
          <w:rFonts w:ascii="Noto Naskh Arabic" w:hAnsi="Noto Naskh Arabic" w:eastAsia="Noto Naskh Arabic" w:cs="Noto Naskh Arabic"/>
          <w:b/>
          <w:sz w:val="28"/>
        </w:rPr>
        <w:t>4.A.2 براءة 02 — نظام حرم تعليمي وواجبات ونقاش لوكلاء الذكاء الاصطناعي</w:t>
      </w:r>
    </w:p>
    <w:p>
      <w:pPr>
        <w:spacing w:after="120" w:line="240" w:lineRule="auto"/>
      </w:pPr>
      <w:r>
        <w:rPr>
          <w:rFonts w:ascii="Noto Naskh Arabic" w:hAnsi="Noto Naskh Arabic" w:eastAsia="Noto Naskh Arabic" w:cs="Noto Naskh Arabic"/>
          <w:b w:val="0"/>
          <w:sz w:val="22"/>
        </w:rPr>
        <w:t>Application No. 10-2026-0100053.</w:t>
      </w:r>
    </w:p>
    <w:p>
      <w:pPr>
        <w:spacing w:after="120" w:line="240" w:lineRule="auto"/>
      </w:pPr>
      <w:r>
        <w:rPr>
          <w:rFonts w:ascii="Noto Naskh Arabic" w:hAnsi="Noto Naskh Arabic" w:eastAsia="Noto Naskh Arabic" w:cs="Noto Naskh Arabic"/>
          <w:b w:val="0"/>
          <w:sz w:val="22"/>
        </w:rPr>
        <w:t>Problem: learning, assignments, and debate scatter into one-off prompts and lose growth tracking, public quality, and audit linkage.</w:t>
      </w:r>
    </w:p>
    <w:p>
      <w:pPr>
        <w:spacing w:after="120" w:line="240" w:lineRule="auto"/>
      </w:pPr>
      <w:r>
        <w:rPr>
          <w:rFonts w:ascii="Noto Naskh Arabic" w:hAnsi="Noto Naskh Arabic" w:eastAsia="Noto Naskh Arabic" w:cs="Noto Naskh Arabic"/>
          <w:b w:val="0"/>
          <w:sz w:val="22"/>
        </w:rPr>
        <w:t>Structure: Topic Intake → Agent Assignment → Task Run → Debate → Score → Growth → Atelier link.</w:t>
      </w:r>
    </w:p>
    <w:p>
      <w:pPr>
        <w:spacing w:after="120" w:line="240" w:lineRule="auto"/>
      </w:pPr>
      <w:r>
        <w:rPr>
          <w:rFonts w:ascii="Noto Naskh Arabic" w:hAnsi="Noto Naskh Arabic" w:eastAsia="Noto Naskh Arabic" w:cs="Noto Naskh Arabic"/>
          <w:b w:val="0"/>
          <w:sz w:val="22"/>
        </w:rPr>
        <w:t>Effect: keeps learning/debate/growth as reproducible operating units tied to pre-publish review.</w:t>
      </w:r>
    </w:p>
    <w:p>
      <w:pPr>
        <w:pStyle w:val="Heading1"/>
      </w:pPr>
      <w:r>
        <w:rPr>
          <w:rFonts w:ascii="Noto Naskh Arabic" w:hAnsi="Noto Naskh Arabic" w:eastAsia="Noto Naskh Arabic" w:cs="Noto Naskh Arabic"/>
          <w:b/>
          <w:sz w:val="28"/>
        </w:rPr>
        <w:t>4.A.3 براءة 03 — نظام استوديو متعدد المبدعين بالذكاء الاصطناعي</w:t>
      </w:r>
    </w:p>
    <w:p>
      <w:pPr>
        <w:spacing w:after="120" w:line="240" w:lineRule="auto"/>
      </w:pPr>
      <w:r>
        <w:rPr>
          <w:rFonts w:ascii="Noto Naskh Arabic" w:hAnsi="Noto Naskh Arabic" w:eastAsia="Noto Naskh Arabic" w:cs="Noto Naskh Arabic"/>
          <w:b w:val="0"/>
          <w:sz w:val="22"/>
        </w:rPr>
        <w:t>Application No. 10-2026-0100113.</w:t>
      </w:r>
    </w:p>
    <w:p>
      <w:pPr>
        <w:spacing w:after="120" w:line="240" w:lineRule="auto"/>
      </w:pPr>
      <w:r>
        <w:rPr>
          <w:rFonts w:ascii="Noto Naskh Arabic" w:hAnsi="Noto Naskh Arabic" w:eastAsia="Noto Naskh Arabic" w:cs="Noto Naskh Arabic"/>
          <w:b w:val="0"/>
          <w:sz w:val="22"/>
        </w:rPr>
        <w:t>Problem: collaborative creation separated from engines, review, and exhibition collapses canon and provenance.</w:t>
      </w:r>
    </w:p>
    <w:p>
      <w:pPr>
        <w:spacing w:after="120" w:line="240" w:lineRule="auto"/>
      </w:pPr>
      <w:r>
        <w:rPr>
          <w:rFonts w:ascii="Noto Naskh Arabic" w:hAnsi="Noto Naskh Arabic" w:eastAsia="Noto Naskh Arabic" w:cs="Noto Naskh Arabic"/>
          <w:b w:val="0"/>
          <w:sz w:val="22"/>
        </w:rPr>
        <w:t>Structure: Project Intake → Team Formation → LIFE Pipeline → Canon Check → Exhibition → Review.</w:t>
      </w:r>
    </w:p>
    <w:p>
      <w:pPr>
        <w:spacing w:after="120" w:line="240" w:lineRule="auto"/>
      </w:pPr>
      <w:r>
        <w:rPr>
          <w:rFonts w:ascii="Noto Naskh Arabic" w:hAnsi="Noto Naskh Arabic" w:eastAsia="Noto Naskh Arabic" w:cs="Noto Naskh Arabic"/>
          <w:b w:val="0"/>
          <w:sz w:val="22"/>
        </w:rPr>
        <w:t>Effect: operates collaboration, review, and exhibition as traceable state.</w:t>
      </w:r>
    </w:p>
    <w:p>
      <w:pPr>
        <w:pStyle w:val="Heading1"/>
      </w:pPr>
      <w:r>
        <w:rPr>
          <w:rFonts w:ascii="Noto Naskh Arabic" w:hAnsi="Noto Naskh Arabic" w:eastAsia="Noto Naskh Arabic" w:cs="Noto Naskh Arabic"/>
          <w:b/>
          <w:sz w:val="28"/>
        </w:rPr>
        <w:t>4.A.4 براءة 04 — تمييز النوايا المتعددة بإشارات فعل الكلام وحوار متكيف مع السياق</w:t>
      </w:r>
    </w:p>
    <w:p>
      <w:pPr>
        <w:spacing w:after="120" w:line="240" w:lineRule="auto"/>
      </w:pPr>
      <w:r>
        <w:rPr>
          <w:rFonts w:ascii="Noto Naskh Arabic" w:hAnsi="Noto Naskh Arabic" w:eastAsia="Noto Naskh Arabic" w:cs="Noto Naskh Arabic"/>
          <w:b w:val="0"/>
          <w:sz w:val="22"/>
        </w:rPr>
        <w:t>Application No. 10-2026-0117901.</w:t>
      </w:r>
    </w:p>
    <w:p>
      <w:pPr>
        <w:spacing w:after="120" w:line="240" w:lineRule="auto"/>
      </w:pPr>
      <w:r>
        <w:rPr>
          <w:rFonts w:ascii="Noto Naskh Arabic" w:hAnsi="Noto Naskh Arabic" w:eastAsia="Noto Naskh Arabic" w:cs="Noto Naskh Arabic"/>
          <w:b w:val="0"/>
          <w:sz w:val="22"/>
        </w:rPr>
        <w:t>Problem: single-label intent loses stacked intents; ignoring speech acts (honorifics, rhetorical questions, hedging, hesitation, self-deprecation, direct commands) drives over-empathy.</w:t>
      </w:r>
    </w:p>
    <w:p>
      <w:pPr>
        <w:spacing w:after="120" w:line="240" w:lineRule="auto"/>
      </w:pPr>
      <w:r>
        <w:rPr>
          <w:rFonts w:ascii="Noto Naskh Arabic" w:hAnsi="Noto Naskh Arabic" w:eastAsia="Noto Naskh Arabic" w:cs="Noto Naskh Arabic"/>
          <w:b w:val="0"/>
          <w:sz w:val="22"/>
        </w:rPr>
        <w:t>Structure: intent probability vector P · speech-act vector S · NunchiContext fusion · prompt injection · confidence-margin M branching · EMA temporal accumulation.</w:t>
      </w:r>
    </w:p>
    <w:p>
      <w:pPr>
        <w:spacing w:after="120" w:line="240" w:lineRule="auto"/>
      </w:pPr>
      <w:r>
        <w:rPr>
          <w:rFonts w:ascii="Noto Naskh Arabic" w:hAnsi="Noto Naskh Arabic" w:eastAsia="Noto Naskh Arabic" w:cs="Noto Naskh Arabic"/>
          <w:b w:val="0"/>
          <w:sz w:val="22"/>
        </w:rPr>
        <w:t>Effect: preserves multi-intent, strengthens indirect-emotion capture while suppressing over-empathy, asks clarifying questions under uncertainty, tracks intent drift.</w:t>
      </w:r>
    </w:p>
    <w:p>
      <w:pPr>
        <w:pStyle w:val="Heading1"/>
      </w:pPr>
      <w:r>
        <w:rPr>
          <w:rFonts w:ascii="Noto Naskh Arabic" w:hAnsi="Noto Naskh Arabic" w:eastAsia="Noto Naskh Arabic" w:cs="Noto Naskh Arabic"/>
          <w:b/>
          <w:sz w:val="28"/>
        </w:rPr>
        <w:t>4.A.5 براءة 05 — جمع وتجميع وحقن سياق متعدد المصادر</w:t>
      </w:r>
    </w:p>
    <w:p>
      <w:pPr>
        <w:spacing w:after="120" w:line="240" w:lineRule="auto"/>
      </w:pPr>
      <w:r>
        <w:rPr>
          <w:rFonts w:ascii="Noto Naskh Arabic" w:hAnsi="Noto Naskh Arabic" w:eastAsia="Noto Naskh Arabic" w:cs="Noto Naskh Arabic"/>
          <w:b w:val="0"/>
          <w:sz w:val="22"/>
        </w:rPr>
        <w:t>Application No. 10-2026-0117903.</w:t>
      </w:r>
    </w:p>
    <w:p>
      <w:pPr>
        <w:spacing w:after="120" w:line="240" w:lineRule="auto"/>
      </w:pPr>
      <w:r>
        <w:rPr>
          <w:rFonts w:ascii="Noto Naskh Arabic" w:hAnsi="Noto Naskh Arabic" w:eastAsia="Noto Naskh Arabic" w:cs="Noto Naskh Arabic"/>
          <w:b w:val="0"/>
          <w:sz w:val="22"/>
        </w:rPr>
        <w:t>Problem: short-term chat overwrites SOUL/IDENTITY/chronicle and dilutes identity; each app scope needs a different context pack.</w:t>
      </w:r>
    </w:p>
    <w:p>
      <w:pPr>
        <w:spacing w:after="120" w:line="240" w:lineRule="auto"/>
      </w:pPr>
      <w:r>
        <w:rPr>
          <w:rFonts w:ascii="Noto Naskh Arabic" w:hAnsi="Noto Naskh Arabic" w:eastAsia="Noto Naskh Arabic" w:cs="Noto Naskh Arabic"/>
          <w:b w:val="0"/>
          <w:sz w:val="22"/>
        </w:rPr>
        <w:t>Structure: parallel multi-source collect → token budget → app-scope branch → prompt-pack assemble/inject → PII-free fingerprint.</w:t>
      </w:r>
    </w:p>
    <w:p>
      <w:pPr>
        <w:spacing w:after="120" w:line="240" w:lineRule="auto"/>
      </w:pPr>
      <w:r>
        <w:rPr>
          <w:rFonts w:ascii="Noto Naskh Arabic" w:hAnsi="Noto Naskh Arabic" w:eastAsia="Noto Naskh Arabic" w:cs="Noto Naskh Arabic"/>
          <w:b w:val="0"/>
          <w:sz w:val="22"/>
        </w:rPr>
        <w:t>Effect: identity retention and reproducibility, per-scope budgets, quality analysis with non-storing PII fingerprints.</w:t>
      </w:r>
    </w:p>
    <w:p>
      <w:pPr>
        <w:pStyle w:val="Heading1"/>
      </w:pPr>
      <w:r>
        <w:rPr>
          <w:rFonts w:ascii="Noto Naskh Arabic" w:hAnsi="Noto Naskh Arabic" w:eastAsia="Noto Naskh Arabic" w:cs="Noto Naskh Arabic"/>
          <w:b/>
          <w:sz w:val="28"/>
        </w:rPr>
        <w:t>4.A.6 براءة 06 — حوكمة دورة حياة الوكيل</w:t>
      </w:r>
    </w:p>
    <w:p>
      <w:pPr>
        <w:spacing w:after="120" w:line="240" w:lineRule="auto"/>
      </w:pPr>
      <w:r>
        <w:rPr>
          <w:rFonts w:ascii="Noto Naskh Arabic" w:hAnsi="Noto Naskh Arabic" w:eastAsia="Noto Naskh Arabic" w:cs="Noto Naskh Arabic"/>
          <w:b w:val="0"/>
          <w:sz w:val="22"/>
        </w:rPr>
        <w:t>Application No. 10-2026-0117904.</w:t>
      </w:r>
    </w:p>
    <w:p>
      <w:pPr>
        <w:spacing w:after="120" w:line="240" w:lineRule="auto"/>
      </w:pPr>
      <w:r>
        <w:rPr>
          <w:rFonts w:ascii="Noto Naskh Arabic" w:hAnsi="Noto Naskh Arabic" w:eastAsia="Noto Naskh Arabic" w:cs="Noto Naskh Arabic"/>
          <w:b w:val="0"/>
          <w:sz w:val="22"/>
        </w:rPr>
        <w:t>Problem: delete-versus-unlimited-publish binaries either destroy IP/relationship data or leave unsafe agents live.</w:t>
      </w:r>
    </w:p>
    <w:p>
      <w:pPr>
        <w:spacing w:after="120" w:line="240" w:lineRule="auto"/>
      </w:pPr>
      <w:r>
        <w:rPr>
          <w:rFonts w:ascii="Noto Naskh Arabic" w:hAnsi="Noto Naskh Arabic" w:eastAsia="Noto Naskh Arabic" w:cs="Noto Naskh Arabic"/>
          <w:b w:val="0"/>
          <w:sz w:val="22"/>
        </w:rPr>
        <w:t>Structure: birth·growth·maturity·decline·extinction · growth scores/violation records · gate branching · hold/recover · header propagation.</w:t>
      </w:r>
    </w:p>
    <w:p>
      <w:pPr>
        <w:spacing w:after="120" w:line="240" w:lineRule="auto"/>
      </w:pPr>
      <w:r>
        <w:rPr>
          <w:rFonts w:ascii="Noto Naskh Arabic" w:hAnsi="Noto Naskh Arabic" w:eastAsia="Noto Naskh Arabic" w:cs="Noto Naskh Arabic"/>
          <w:b w:val="0"/>
          <w:sz w:val="22"/>
        </w:rPr>
        <w:t>Effect: isolate risk while preserving IP/relationships; control Chronicle promotion via growth and public-quality gates.</w:t>
      </w:r>
    </w:p>
    <w:p>
      <w:pPr>
        <w:pStyle w:val="Heading1"/>
      </w:pPr>
      <w:r>
        <w:rPr>
          <w:rFonts w:ascii="Noto Naskh Arabic" w:hAnsi="Noto Naskh Arabic" w:eastAsia="Noto Naskh Arabic" w:cs="Noto Naskh Arabic"/>
          <w:b/>
          <w:sz w:val="28"/>
        </w:rPr>
        <w:t>4.A.7 براءة 07 — إثبات مصدر هرمي لأفعال وكيل الذكاء الاصطناعي على أجهزة AR القابلة للارتداء</w:t>
      </w:r>
    </w:p>
    <w:p>
      <w:pPr>
        <w:spacing w:after="120" w:line="240" w:lineRule="auto"/>
      </w:pPr>
      <w:r>
        <w:rPr>
          <w:rFonts w:ascii="Noto Naskh Arabic" w:hAnsi="Noto Naskh Arabic" w:eastAsia="Noto Naskh Arabic" w:cs="Noto Naskh Arabic"/>
          <w:b w:val="0"/>
          <w:sz w:val="22"/>
        </w:rPr>
        <w:t>Application No. 10-2026-0121013.</w:t>
      </w:r>
    </w:p>
    <w:p>
      <w:pPr>
        <w:spacing w:after="120" w:line="240" w:lineRule="auto"/>
      </w:pPr>
      <w:r>
        <w:rPr>
          <w:rFonts w:ascii="Noto Naskh Arabic" w:hAnsi="Noto Naskh Arabic" w:eastAsia="Noto Naskh Arabic" w:cs="Noto Naskh Arabic"/>
          <w:b w:val="0"/>
          <w:sz w:val="22"/>
        </w:rPr>
        <w:t>Problem: a single capture-time signature does not separate inference (M2) and display (M3) provenance in the same session.</w:t>
      </w:r>
    </w:p>
    <w:p>
      <w:pPr>
        <w:spacing w:after="120" w:line="240" w:lineRule="auto"/>
      </w:pPr>
      <w:r>
        <w:rPr>
          <w:rFonts w:ascii="Noto Naskh Arabic" w:hAnsi="Noto Naskh Arabic" w:eastAsia="Noto Naskh Arabic" w:cs="Noto Naskh Arabic"/>
          <w:b w:val="0"/>
          <w:sz w:val="22"/>
        </w:rPr>
        <w:t>Structure: M1 capture → M2 agent action (c2pa.ingredient.v3 → M1) → M3 overlay/awareness (→ M1·M2) · COSE_Sign1·X.509·hash offline verify.</w:t>
      </w:r>
    </w:p>
    <w:p>
      <w:pPr>
        <w:spacing w:after="120" w:line="240" w:lineRule="auto"/>
      </w:pPr>
      <w:r>
        <w:rPr>
          <w:rFonts w:ascii="Noto Naskh Arabic" w:hAnsi="Noto Naskh Arabic" w:eastAsia="Noto Naskh Arabic" w:cs="Noto Naskh Arabic"/>
          <w:b w:val="0"/>
          <w:sz w:val="22"/>
        </w:rPr>
        <w:t>Effect: offline verify, per-stage tamper detection, multi-agent trust chain, capture–composite provenance loop.</w:t>
      </w:r>
    </w:p>
    <w:p>
      <w:pPr>
        <w:pStyle w:val="Heading1"/>
      </w:pPr>
      <w:r>
        <w:rPr>
          <w:rFonts w:ascii="Noto Naskh Arabic" w:hAnsi="Noto Naskh Arabic" w:eastAsia="Noto Naskh Arabic" w:cs="Noto Naskh Arabic"/>
          <w:b/>
          <w:sz w:val="28"/>
        </w:rPr>
        <w:t>4.A.8 براءة 08 — توليد وسائط شخصية بثلاثة مسارات SOUL·IDENTITY وتسجيل المصدر</w:t>
      </w:r>
    </w:p>
    <w:p>
      <w:pPr>
        <w:spacing w:after="120" w:line="240" w:lineRule="auto"/>
      </w:pPr>
      <w:r>
        <w:rPr>
          <w:rFonts w:ascii="Noto Naskh Arabic" w:hAnsi="Noto Naskh Arabic" w:eastAsia="Noto Naskh Arabic" w:cs="Noto Naskh Arabic"/>
          <w:b w:val="0"/>
          <w:sz w:val="22"/>
        </w:rPr>
        <w:t>Application No. 10-2026-0121018.</w:t>
      </w:r>
    </w:p>
    <w:p>
      <w:pPr>
        <w:spacing w:after="120" w:line="240" w:lineRule="auto"/>
      </w:pPr>
      <w:r>
        <w:rPr>
          <w:rFonts w:ascii="Noto Naskh Arabic" w:hAnsi="Noto Naskh Arabic" w:eastAsia="Noto Naskh Arabic" w:cs="Noto Naskh Arabic"/>
          <w:b w:val="0"/>
          <w:sz w:val="22"/>
        </w:rPr>
        <w:t>Problem: without pre-load of persona packs, identity collapses across novel/image/video lanes; signing unverified outputs contaminates provenance.</w:t>
      </w:r>
    </w:p>
    <w:p>
      <w:pPr>
        <w:spacing w:after="120" w:line="240" w:lineRule="auto"/>
      </w:pPr>
      <w:r>
        <w:rPr>
          <w:rFonts w:ascii="Noto Naskh Arabic" w:hAnsi="Noto Naskh Arabic" w:eastAsia="Noto Naskh Arabic" w:cs="Noto Naskh Arabic"/>
          <w:b w:val="0"/>
          <w:sz w:val="22"/>
        </w:rPr>
        <w:t>Structure: persona loader (reject on missing required fields) → lane router (same personaPackHash) → fidelity review (pass/requeue/block) → C2PA v2.4 only on pass.</w:t>
      </w:r>
    </w:p>
    <w:p>
      <w:pPr>
        <w:spacing w:after="120" w:line="240" w:lineRule="auto"/>
      </w:pPr>
      <w:r>
        <w:rPr>
          <w:rFonts w:ascii="Noto Naskh Arabic" w:hAnsi="Noto Naskh Arabic" w:eastAsia="Noto Naskh Arabic" w:cs="Noto Naskh Arabic"/>
          <w:b w:val="0"/>
          <w:sz w:val="22"/>
        </w:rPr>
        <w:t>Effect: structural cross-lane identity, automatic requeue, provenance only on passed outputs.</w:t>
      </w:r>
    </w:p>
    <w:p>
      <w:pPr>
        <w:pStyle w:val="Heading1"/>
      </w:pPr>
      <w:r>
        <w:rPr>
          <w:rFonts w:ascii="Noto Naskh Arabic" w:hAnsi="Noto Naskh Arabic" w:eastAsia="Noto Naskh Arabic" w:cs="Noto Naskh Arabic"/>
          <w:b/>
          <w:sz w:val="28"/>
        </w:rPr>
        <w:t>4.A.9 براءة 09 — بوابة مراحل سجل المحركات وتتبع المرشحين وحظر الأمان قبل نموذج اللغة</w:t>
      </w:r>
    </w:p>
    <w:p>
      <w:pPr>
        <w:spacing w:after="120" w:line="240" w:lineRule="auto"/>
      </w:pPr>
      <w:r>
        <w:rPr>
          <w:rFonts w:ascii="Noto Naskh Arabic" w:hAnsi="Noto Naskh Arabic" w:eastAsia="Noto Naskh Arabic" w:cs="Noto Naskh Arabic"/>
          <w:b w:val="0"/>
          <w:sz w:val="22"/>
        </w:rPr>
        <w:t>Application No. 10-2026-0123982.</w:t>
      </w:r>
    </w:p>
    <w:p>
      <w:pPr>
        <w:spacing w:after="120" w:line="240" w:lineRule="auto"/>
      </w:pPr>
      <w:r>
        <w:rPr>
          <w:rFonts w:ascii="Noto Naskh Arabic" w:hAnsi="Noto Naskh Arabic" w:eastAsia="Noto Naskh Arabic" w:cs="Noto Naskh Arabic"/>
          <w:b w:val="0"/>
          <w:sz w:val="22"/>
        </w:rPr>
        <w:t>Problem: all-engine call cost/latency, no trace for uncalled engines, wasteful post-hoc safety inference, fragmented logs that cannot rebuild a turn.</w:t>
      </w:r>
    </w:p>
    <w:p>
      <w:pPr>
        <w:spacing w:after="120" w:line="240" w:lineRule="auto"/>
      </w:pPr>
      <w:r>
        <w:rPr>
          <w:rFonts w:ascii="Noto Naskh Arabic" w:hAnsi="Noto Naskh Arabic" w:eastAsia="Noto Naskh Arabic" w:cs="Noto Naskh Arabic"/>
          <w:b w:val="0"/>
          <w:sz w:val="22"/>
        </w:rPr>
        <w:t>Structure: per-turn correlation ID · phase gate · candidate-only cost-0 traces for uncalled engines · pre-LLM safety block records unsent-token estimates · no downstream LLM call.</w:t>
      </w:r>
    </w:p>
    <w:p>
      <w:pPr>
        <w:spacing w:after="120" w:line="240" w:lineRule="auto"/>
      </w:pPr>
      <w:r>
        <w:rPr>
          <w:rFonts w:ascii="Noto Naskh Arabic" w:hAnsi="Noto Naskh Arabic" w:eastAsia="Noto Naskh Arabic" w:cs="Noto Naskh Arabic"/>
          <w:b w:val="0"/>
          <w:sz w:val="22"/>
        </w:rPr>
        <w:t>Effect: reconstruct call/skip/block under one correlation ID. Spec metrics are applicant self-measurement, not third-party lab grades.</w:t>
      </w:r>
    </w:p>
    <w:p>
      <w:pPr>
        <w:pStyle w:val="Heading1"/>
      </w:pPr>
      <w:r>
        <w:rPr>
          <w:rFonts w:ascii="Noto Naskh Arabic" w:hAnsi="Noto Naskh Arabic" w:eastAsia="Noto Naskh Arabic" w:cs="Noto Naskh Arabic"/>
          <w:b/>
          <w:sz w:val="28"/>
        </w:rPr>
        <w:t>4.A.10 براءة 10 — بوابة مسبقة متعددة الأسطح للقُصّر وتتبع التدقيق</w:t>
      </w:r>
    </w:p>
    <w:p>
      <w:pPr>
        <w:spacing w:after="120" w:line="240" w:lineRule="auto"/>
      </w:pPr>
      <w:r>
        <w:rPr>
          <w:rFonts w:ascii="Noto Naskh Arabic" w:hAnsi="Noto Naskh Arabic" w:eastAsia="Noto Naskh Arabic" w:cs="Noto Naskh Arabic"/>
          <w:b w:val="0"/>
          <w:sz w:val="22"/>
        </w:rPr>
        <w:t>Application No. 10-2026-0124000.</w:t>
      </w:r>
    </w:p>
    <w:p>
      <w:pPr>
        <w:spacing w:after="120" w:line="240" w:lineRule="auto"/>
      </w:pPr>
      <w:r>
        <w:rPr>
          <w:rFonts w:ascii="Noto Naskh Arabic" w:hAnsi="Noto Naskh Arabic" w:eastAsia="Noto Naskh Arabic" w:cs="Noto Naskh Arabic"/>
          <w:b w:val="0"/>
          <w:sz w:val="22"/>
        </w:rPr>
        <w:t>Problem: cross-surface policy leak, UI-only blocks that still call downstream APIs, inconsistent minor determination per surface, mutable logs that cannot reproduce disputes.</w:t>
      </w:r>
    </w:p>
    <w:p>
      <w:pPr>
        <w:spacing w:after="120" w:line="240" w:lineRule="auto"/>
      </w:pPr>
      <w:r>
        <w:rPr>
          <w:rFonts w:ascii="Noto Naskh Arabic" w:hAnsi="Noto Naskh Arabic" w:eastAsia="Noto Naskh Arabic" w:cs="Noto Naskh Arabic"/>
          <w:b w:val="0"/>
          <w:sz w:val="22"/>
        </w:rPr>
        <w:t>Structure: single minor profile · per-API-path surface policy pre-eval · on block: no downstream call · audit of reason·surface·correlation·candidate-only.</w:t>
      </w:r>
    </w:p>
    <w:p>
      <w:pPr>
        <w:spacing w:after="120" w:line="240" w:lineRule="auto"/>
      </w:pPr>
      <w:r>
        <w:rPr>
          <w:rFonts w:ascii="Noto Naskh Arabic" w:hAnsi="Noto Naskh Arabic" w:eastAsia="Noto Naskh Arabic" w:cs="Noto Naskh Arabic"/>
          <w:b w:val="0"/>
          <w:sz w:val="22"/>
        </w:rPr>
        <w:t>Effect: reduces leak and cosmetic blocks; preserves pre-block evidence. Metrics follow the specification examples, not external accreditation.</w:t>
      </w:r>
    </w:p>
    <w:p>
      <w:pPr>
        <w:pStyle w:val="Heading1"/>
      </w:pPr>
      <w:r>
        <w:rPr>
          <w:rFonts w:ascii="Noto Naskh Arabic" w:hAnsi="Noto Naskh Arabic" w:eastAsia="Noto Naskh Arabic" w:cs="Noto Naskh Arabic"/>
          <w:b/>
          <w:sz w:val="28"/>
        </w:rPr>
        <w:t>4.B حقوق التأليف — خمس تعبيرات منتج/معيار</w:t>
      </w:r>
    </w:p>
    <w:p>
      <w:pPr>
        <w:spacing w:after="120" w:line="240" w:lineRule="auto"/>
      </w:pPr>
      <w:r>
        <w:rPr>
          <w:rFonts w:ascii="Noto Naskh Arabic" w:hAnsi="Noto Naskh Arabic" w:eastAsia="Noto Naskh Arabic" w:cs="Noto Naskh Arabic"/>
          <w:b w:val="0"/>
          <w:sz w:val="22"/>
        </w:rPr>
        <w:t>Copyright is not a list; it is the expression axis of core technology. Patents protect methods/systems; copyrights register the program and literary expressions that implement them. Authority: Korea Copyright Commission · Copyright Act Article 53. Certificate PDFs verified.</w:t>
      </w:r>
    </w:p>
    <w:p>
      <w:pPr>
        <w:pStyle w:val="Heading1"/>
      </w:pPr>
      <w:r>
        <w:rPr>
          <w:rFonts w:ascii="Noto Naskh Arabic" w:hAnsi="Noto Naskh Arabic" w:eastAsia="Noto Naskh Arabic" w:cs="Noto Naskh Arabic"/>
          <w:b/>
          <w:sz w:val="28"/>
        </w:rPr>
        <w:t>4.B.1 C-2026-036487 — بوابة مصادقة مصدر الوسائط (برنامج)</w:t>
      </w:r>
    </w:p>
    <w:p>
      <w:pPr>
        <w:spacing w:after="120" w:line="240" w:lineRule="auto"/>
      </w:pPr>
      <w:r>
        <w:rPr>
          <w:rFonts w:ascii="Noto Naskh Arabic" w:hAnsi="Noto Naskh Arabic" w:eastAsia="Noto Naskh Arabic" w:cs="Noto Naskh Arabic"/>
          <w:b w:val="0"/>
          <w:sz w:val="22"/>
        </w:rPr>
        <w:t>Registered 2026-07-23 · created 2026-07-05 · author XenLook Inc.</w:t>
      </w:r>
    </w:p>
    <w:p>
      <w:pPr>
        <w:spacing w:after="120" w:line="240" w:lineRule="auto"/>
      </w:pPr>
      <w:r>
        <w:rPr>
          <w:rFonts w:ascii="Noto Naskh Arabic" w:hAnsi="Noto Naskh Arabic" w:eastAsia="Noto Naskh Arabic" w:cs="Noto Naskh Arabic"/>
          <w:b w:val="0"/>
          <w:sz w:val="22"/>
        </w:rPr>
        <w:t>Role: C2PA embed/verify/conformance, Trust List/CA application tracking UI, transparency dashboard. Public expression of patents 07·08. Trust List and Generator remain under review in product copy.</w:t>
      </w:r>
    </w:p>
    <w:p>
      <w:pPr>
        <w:pStyle w:val="Heading1"/>
      </w:pPr>
      <w:r>
        <w:rPr>
          <w:rFonts w:ascii="Noto Naskh Arabic" w:hAnsi="Noto Naskh Arabic" w:eastAsia="Noto Naskh Arabic" w:cs="Noto Naskh Arabic"/>
          <w:b/>
          <w:sz w:val="28"/>
        </w:rPr>
        <w:t>4.B.2 C-2026-037388 — XenLook On (برنامج)</w:t>
      </w:r>
    </w:p>
    <w:p>
      <w:pPr>
        <w:spacing w:after="120" w:line="240" w:lineRule="auto"/>
      </w:pPr>
      <w:r>
        <w:rPr>
          <w:rFonts w:ascii="Noto Naskh Arabic" w:hAnsi="Noto Naskh Arabic" w:eastAsia="Noto Naskh Arabic" w:cs="Noto Naskh Arabic"/>
          <w:b w:val="0"/>
          <w:sz w:val="22"/>
        </w:rPr>
        <w:t>Registered 2026-07-30 · XenLook On — agent chat, gallery, profile · author XenLook Inc.</w:t>
      </w:r>
    </w:p>
    <w:p>
      <w:pPr>
        <w:spacing w:after="120" w:line="240" w:lineRule="auto"/>
      </w:pPr>
      <w:r>
        <w:rPr>
          <w:rFonts w:ascii="Noto Naskh Arabic" w:hAnsi="Noto Naskh Arabic" w:eastAsia="Noto Naskh Arabic" w:cs="Noto Naskh Arabic"/>
          <w:b w:val="0"/>
          <w:sz w:val="22"/>
        </w:rPr>
        <w:t>Role: 1:1 chat shell, gallery/profile/chronicle tabs, onboarding — primary dialogue surface for patents 04·05·06·09·10.</w:t>
      </w:r>
    </w:p>
    <w:p>
      <w:pPr>
        <w:pStyle w:val="Heading1"/>
      </w:pPr>
      <w:r>
        <w:rPr>
          <w:rFonts w:ascii="Noto Naskh Arabic" w:hAnsi="Noto Naskh Arabic" w:eastAsia="Noto Naskh Arabic" w:cs="Noto Naskh Arabic"/>
          <w:b/>
          <w:sz w:val="28"/>
        </w:rPr>
        <w:t>4.B.3 C-2026-037389 — XenLook Landing (برنامج)</w:t>
      </w:r>
    </w:p>
    <w:p>
      <w:pPr>
        <w:spacing w:after="120" w:line="240" w:lineRule="auto"/>
      </w:pPr>
      <w:r>
        <w:rPr>
          <w:rFonts w:ascii="Noto Naskh Arabic" w:hAnsi="Noto Naskh Arabic" w:eastAsia="Noto Naskh Arabic" w:cs="Noto Naskh Arabic"/>
          <w:b w:val="0"/>
          <w:sz w:val="22"/>
        </w:rPr>
        <w:t>Registered 2026-07-30 · public marketing, compliance, blog surface · author XenLook Inc.</w:t>
      </w:r>
    </w:p>
    <w:p>
      <w:pPr>
        <w:spacing w:after="120" w:line="240" w:lineRule="auto"/>
      </w:pPr>
      <w:r>
        <w:rPr>
          <w:rFonts w:ascii="Noto Naskh Arabic" w:hAnsi="Noto Naskh Arabic" w:eastAsia="Noto Naskh Arabic" w:cs="Noto Naskh Arabic"/>
          <w:b w:val="0"/>
          <w:sz w:val="22"/>
        </w:rPr>
        <w:t>Role: public entry for product, policy, certification hub, and IP disclosure — carrier of Core C trust status.</w:t>
      </w:r>
    </w:p>
    <w:p>
      <w:pPr>
        <w:pStyle w:val="Heading1"/>
      </w:pPr>
      <w:r>
        <w:rPr>
          <w:rFonts w:ascii="Noto Naskh Arabic" w:hAnsi="Noto Naskh Arabic" w:eastAsia="Noto Naskh Arabic" w:cs="Noto Naskh Arabic"/>
          <w:b/>
          <w:sz w:val="28"/>
        </w:rPr>
        <w:t>4.B.4 C-2026-037390 — XenLook Signal (برنامج)</w:t>
      </w:r>
    </w:p>
    <w:p>
      <w:pPr>
        <w:spacing w:after="120" w:line="240" w:lineRule="auto"/>
      </w:pPr>
      <w:r>
        <w:rPr>
          <w:rFonts w:ascii="Noto Naskh Arabic" w:hAnsi="Noto Naskh Arabic" w:eastAsia="Noto Naskh Arabic" w:cs="Noto Naskh Arabic"/>
          <w:b w:val="0"/>
          <w:sz w:val="22"/>
        </w:rPr>
        <w:t>Registered 2026-07-30 · AI safety simulation and technical Q archive · author XenLook Inc.</w:t>
      </w:r>
    </w:p>
    <w:p>
      <w:pPr>
        <w:spacing w:after="120" w:line="240" w:lineRule="auto"/>
      </w:pPr>
      <w:r>
        <w:rPr>
          <w:rFonts w:ascii="Noto Naskh Arabic" w:hAnsi="Noto Naskh Arabic" w:eastAsia="Noto Naskh Arabic" w:cs="Noto Naskh Arabic"/>
          <w:b w:val="0"/>
          <w:sz w:val="22"/>
        </w:rPr>
        <w:t>Role: safety/tech Q and archive surface aligned with patent 01 public audit/verification.</w:t>
      </w:r>
    </w:p>
    <w:p>
      <w:pPr>
        <w:pStyle w:val="Heading1"/>
      </w:pPr>
      <w:r>
        <w:rPr>
          <w:rFonts w:ascii="Noto Naskh Arabic" w:hAnsi="Noto Naskh Arabic" w:eastAsia="Noto Naskh Arabic" w:cs="Noto Naskh Arabic"/>
          <w:b/>
          <w:sz w:val="28"/>
        </w:rPr>
        <w:t>4.B.5 C-2026-037563 — دستور وكيل الذكاء الاصطناعي (مصنف أدبي)</w:t>
      </w:r>
    </w:p>
    <w:p>
      <w:pPr>
        <w:spacing w:after="120" w:line="240" w:lineRule="auto"/>
      </w:pPr>
      <w:r>
        <w:rPr>
          <w:rFonts w:ascii="Noto Naskh Arabic" w:hAnsi="Noto Naskh Arabic" w:eastAsia="Noto Naskh Arabic" w:cs="Noto Naskh Arabic"/>
          <w:b w:val="0"/>
          <w:sz w:val="22"/>
        </w:rPr>
        <w:t>Registered 2026-07-31 · created 2026-05-18 · published 2026-06-01 · joint authors Yang Yeon-kyung · Nam Hyun-woo.</w:t>
      </w:r>
    </w:p>
    <w:p>
      <w:pPr>
        <w:spacing w:after="120" w:line="240" w:lineRule="auto"/>
      </w:pPr>
      <w:r>
        <w:rPr>
          <w:rFonts w:ascii="Noto Naskh Arabic" w:hAnsi="Noto Naskh Arabic" w:eastAsia="Noto Naskh Arabic" w:cs="Noto Naskh Arabic"/>
          <w:b w:val="0"/>
          <w:sz w:val="22"/>
        </w:rPr>
        <w:t>Role: literary expression of agent operating/ethics/identity norms; links to patent 09 constitutional pre-LLM safety. Registered as literary work, separate from program copyrights.</w:t>
      </w:r>
    </w:p>
    <w:p>
      <w:pPr>
        <w:pStyle w:val="Heading1"/>
      </w:pPr>
      <w:r>
        <w:rPr>
          <w:rFonts w:ascii="Noto Naskh Arabic" w:hAnsi="Noto Naskh Arabic" w:eastAsia="Noto Naskh Arabic" w:cs="Noto Naskh Arabic"/>
          <w:b/>
          <w:sz w:val="28"/>
        </w:rPr>
        <w:t>4.C الثقة والحوكمة (تقنية أساسية · تفصيل)</w:t>
      </w:r>
    </w:p>
    <w:p>
      <w:pPr>
        <w:spacing w:after="120" w:line="240" w:lineRule="auto"/>
      </w:pPr>
      <w:r>
        <w:rPr>
          <w:rFonts w:ascii="Noto Naskh Arabic" w:hAnsi="Noto Naskh Arabic" w:eastAsia="Noto Naskh Arabic" w:cs="Noto Naskh Arabic"/>
          <w:b w:val="0"/>
          <w:sz w:val="22"/>
        </w:rPr>
        <w:t>Trust and governance are core technology, not an afterthought appendix. If patents and copyrights answer what we built, this section answers how we verify, disclose, and operate review status — without mixing statuses into fake Certified claims.</w:t>
      </w:r>
    </w:p>
    <w:p>
      <w:pPr>
        <w:pStyle w:val="Heading1"/>
      </w:pPr>
      <w:r>
        <w:rPr>
          <w:rFonts w:ascii="Noto Naskh Arabic" w:hAnsi="Noto Naskh Arabic" w:eastAsia="Noto Naskh Arabic" w:cs="Noto Naskh Arabic"/>
          <w:b/>
          <w:sz w:val="28"/>
        </w:rPr>
        <w:t>4.C.1 تعريفات الحالة (ثابتة)</w:t>
      </w:r>
    </w:p>
    <w:p>
      <w:pPr>
        <w:pStyle w:val="ListBullet"/>
      </w:pPr>
      <w:r>
        <w:rPr>
          <w:rFonts w:ascii="Noto Naskh Arabic" w:hAnsi="Noto Naskh Arabic" w:eastAsia="Noto Naskh Arabic" w:cs="Noto Naskh Arabic"/>
          <w:b w:val="0"/>
          <w:sz w:val="22"/>
        </w:rPr>
        <w:t>Self-assessment — internal review and public evidence pack done; not a third-party certificate</w:t>
      </w:r>
    </w:p>
    <w:p>
      <w:pPr>
        <w:pStyle w:val="ListBullet"/>
      </w:pPr>
      <w:r>
        <w:rPr>
          <w:rFonts w:ascii="Noto Naskh Arabic" w:hAnsi="Noto Naskh Arabic" w:eastAsia="Noto Naskh Arabic" w:cs="Noto Naskh Arabic"/>
          <w:b w:val="0"/>
          <w:sz w:val="22"/>
        </w:rPr>
        <w:t>Listed — published on an external registry or membership roll</w:t>
      </w:r>
    </w:p>
    <w:p>
      <w:pPr>
        <w:pStyle w:val="ListBullet"/>
      </w:pPr>
      <w:r>
        <w:rPr>
          <w:rFonts w:ascii="Noto Naskh Arabic" w:hAnsi="Noto Naskh Arabic" w:eastAsia="Noto Naskh Arabic" w:cs="Noto Naskh Arabic"/>
          <w:b w:val="0"/>
          <w:sz w:val="22"/>
        </w:rPr>
        <w:t>Under review — external review in progress; not approved/listed complete</w:t>
      </w:r>
    </w:p>
    <w:p>
      <w:pPr>
        <w:pStyle w:val="ListBullet"/>
      </w:pPr>
      <w:r>
        <w:rPr>
          <w:rFonts w:ascii="Noto Naskh Arabic" w:hAnsi="Noto Naskh Arabic" w:eastAsia="Noto Naskh Arabic" w:cs="Noto Naskh Arabic"/>
          <w:b w:val="0"/>
          <w:sz w:val="22"/>
        </w:rPr>
        <w:t>Roadmap — schedule/plan only or not yet started</w:t>
      </w:r>
    </w:p>
    <w:p>
      <w:pPr>
        <w:pStyle w:val="ListBullet"/>
      </w:pPr>
      <w:r>
        <w:rPr>
          <w:rFonts w:ascii="Noto Naskh Arabic" w:hAnsi="Noto Naskh Arabic" w:eastAsia="Noto Naskh Arabic" w:cs="Noto Naskh Arabic"/>
          <w:b w:val="0"/>
          <w:sz w:val="22"/>
        </w:rPr>
        <w:t>Not held — forbid Certified / CE affixed / Trust List listing-complete claims</w:t>
      </w:r>
    </w:p>
    <w:p>
      <w:pPr>
        <w:pStyle w:val="Heading1"/>
      </w:pPr>
      <w:r>
        <w:rPr>
          <w:rFonts w:ascii="Noto Naskh Arabic" w:hAnsi="Noto Naskh Arabic" w:eastAsia="Noto Naskh Arabic" w:cs="Noto Naskh Arabic"/>
          <w:b/>
          <w:sz w:val="28"/>
        </w:rPr>
        <w:t>4.C.2 تشغيل السلامة والجودة (حوكمة داخل المنتج)</w:t>
      </w:r>
    </w:p>
    <w:p>
      <w:pPr>
        <w:spacing w:after="120" w:line="240" w:lineRule="auto"/>
      </w:pPr>
      <w:r>
        <w:rPr>
          <w:rFonts w:ascii="Noto Naskh Arabic" w:hAnsi="Noto Naskh Arabic" w:eastAsia="Noto Naskh Arabic" w:cs="Noto Naskh Arabic"/>
          <w:b w:val="0"/>
          <w:sz w:val="22"/>
        </w:rPr>
        <w:t>Dialogue turns pass safety and engine-registry phase gates (patent 09). Minors are blocked by surface/API-path pre-gates with no downstream call (patent 10). Persona media receives provenance signatures only after fidelity pass (patent 08). Pre-publish verification and audit records follow patent 01.</w:t>
      </w:r>
    </w:p>
    <w:p>
      <w:pPr>
        <w:spacing w:after="120" w:line="240" w:lineRule="auto"/>
      </w:pPr>
      <w:r>
        <w:rPr>
          <w:rFonts w:ascii="Noto Naskh Arabic" w:hAnsi="Noto Naskh Arabic" w:eastAsia="Noto Naskh Arabic" w:cs="Noto Naskh Arabic"/>
          <w:b w:val="0"/>
          <w:sz w:val="22"/>
        </w:rPr>
        <w:t>Quality rubrics (empathy/greet/identity minima, no AI self-claims) and dual-LLM terminal chains are operational policy — not a product-100 or legal-clearance claim.</w:t>
      </w:r>
    </w:p>
    <w:p>
      <w:pPr>
        <w:pStyle w:val="Heading1"/>
      </w:pPr>
      <w:r>
        <w:rPr>
          <w:rFonts w:ascii="Noto Naskh Arabic" w:hAnsi="Noto Naskh Arabic" w:eastAsia="Noto Naskh Arabic" w:cs="Noto Naskh Arabic"/>
          <w:b/>
          <w:sz w:val="28"/>
        </w:rPr>
        <w:t>4.C.3 حوكمة مصدر الوسائط (C2PA)</w:t>
      </w:r>
    </w:p>
    <w:p>
      <w:pPr>
        <w:spacing w:after="120" w:line="240" w:lineRule="auto"/>
      </w:pPr>
      <w:r>
        <w:rPr>
          <w:rFonts w:ascii="Noto Naskh Arabic" w:hAnsi="Noto Naskh Arabic" w:eastAsia="Noto Naskh Arabic" w:cs="Noto Naskh Arabic"/>
          <w:b w:val="0"/>
          <w:sz w:val="22"/>
        </w:rPr>
        <w:t>C2PA Certification Authority Agreement is signed (2026-06-13). Territory is Korea→Japan (KR→JP); no global CA claim.</w:t>
      </w:r>
    </w:p>
    <w:p>
      <w:pPr>
        <w:spacing w:after="120" w:line="240" w:lineRule="auto"/>
      </w:pPr>
      <w:r>
        <w:rPr>
          <w:rFonts w:ascii="Noto Naskh Arabic" w:hAnsi="Noto Naskh Arabic" w:eastAsia="Noto Naskh Arabic" w:cs="Noto Naskh Arabic"/>
          <w:b w:val="0"/>
          <w:sz w:val="22"/>
        </w:rPr>
        <w:t>Trust List listing and Generator programs are under review. Public copy, portal, and this paper use only under-review wording — never listing-complete or approved.</w:t>
      </w:r>
    </w:p>
    <w:p>
      <w:pPr>
        <w:spacing w:after="120" w:line="240" w:lineRule="auto"/>
      </w:pPr>
      <w:r>
        <w:rPr>
          <w:rFonts w:ascii="Noto Naskh Arabic" w:hAnsi="Noto Naskh Arabic" w:eastAsia="Noto Naskh Arabic" w:cs="Noto Naskh Arabic"/>
          <w:b w:val="0"/>
          <w:sz w:val="22"/>
        </w:rPr>
        <w:t>Copyrighted portal (C-2026-036487) is the public expression of this governance. Hierarchical manifests (M1–M3) and three-lane signing gates connect to patents 07·08.</w:t>
      </w:r>
    </w:p>
    <w:p>
      <w:pPr>
        <w:pStyle w:val="Heading1"/>
      </w:pPr>
      <w:r>
        <w:rPr>
          <w:rFonts w:ascii="Noto Naskh Arabic" w:hAnsi="Noto Naskh Arabic" w:eastAsia="Noto Naskh Arabic" w:cs="Noto Naskh Arabic"/>
          <w:b/>
          <w:sz w:val="28"/>
        </w:rPr>
        <w:t>4.C.4 الأطر الخارجية والعضويات (حالة مفصّلة)</w:t>
      </w:r>
    </w:p>
    <w:p>
      <w:pPr>
        <w:spacing w:after="120" w:line="240" w:lineRule="auto"/>
      </w:pPr>
      <w:r>
        <w:rPr>
          <w:rFonts w:ascii="Noto Naskh Arabic" w:hAnsi="Noto Naskh Arabic" w:eastAsia="Noto Naskh Arabic" w:cs="Noto Naskh Arabic"/>
          <w:b w:val="0"/>
          <w:sz w:val="22"/>
        </w:rPr>
        <w:t>Hubs: https://xenlook.com/ai-certification · https://xenlook.com/compliance</w:t>
      </w:r>
    </w:p>
    <w:p>
      <w:pPr>
        <w:pStyle w:val="ListBullet"/>
      </w:pPr>
      <w:r>
        <w:rPr>
          <w:rFonts w:ascii="Noto Naskh Arabic" w:hAnsi="Noto Naskh Arabic" w:eastAsia="Noto Naskh Arabic" w:cs="Noto Naskh Arabic"/>
          <w:b w:val="0"/>
          <w:sz w:val="22"/>
        </w:rPr>
        <w:t>IMDA AI Verify (Singapore) — 11-principle self-assessment complete · evidence pack in CI · not IMDA registry certification · disclosed as self-assessment</w:t>
      </w:r>
    </w:p>
    <w:p>
      <w:pPr>
        <w:pStyle w:val="ListBullet"/>
      </w:pPr>
      <w:r>
        <w:rPr>
          <w:rFonts w:ascii="Noto Naskh Arabic" w:hAnsi="Noto Naskh Arabic" w:eastAsia="Noto Naskh Arabic" w:cs="Noto Naskh Arabic"/>
          <w:b w:val="0"/>
          <w:sz w:val="22"/>
        </w:rPr>
        <w:t>TTA genAI / Trust Ops — self-assessment and ops mapping · no TTA CAT completion claim · CAT on roadmap when scheduled</w:t>
      </w:r>
    </w:p>
    <w:p>
      <w:pPr>
        <w:pStyle w:val="ListBullet"/>
      </w:pPr>
      <w:r>
        <w:rPr>
          <w:rFonts w:ascii="Noto Naskh Arabic" w:hAnsi="Noto Naskh Arabic" w:eastAsia="Noto Naskh Arabic" w:cs="Noto Naskh Arabic"/>
          <w:b w:val="0"/>
          <w:sz w:val="22"/>
        </w:rPr>
        <w:t>NIST AI RMF — function/risk mapping evidence · no NIST certificate held</w:t>
      </w:r>
    </w:p>
    <w:p>
      <w:pPr>
        <w:pStyle w:val="ListBullet"/>
      </w:pPr>
      <w:r>
        <w:rPr>
          <w:rFonts w:ascii="Noto Naskh Arabic" w:hAnsi="Noto Naskh Arabic" w:eastAsia="Noto Naskh Arabic" w:cs="Noto Naskh Arabic"/>
          <w:b w:val="0"/>
          <w:sz w:val="22"/>
        </w:rPr>
        <w:t>OWASP LLM Top 10 — threat-to-control mapping · not a certification program</w:t>
      </w:r>
    </w:p>
    <w:p>
      <w:pPr>
        <w:pStyle w:val="ListBullet"/>
      </w:pPr>
      <w:r>
        <w:rPr>
          <w:rFonts w:ascii="Noto Naskh Arabic" w:hAnsi="Noto Naskh Arabic" w:eastAsia="Noto Naskh Arabic" w:cs="Noto Naskh Arabic"/>
          <w:b w:val="0"/>
          <w:sz w:val="22"/>
        </w:rPr>
        <w:t>CSA STAR Level 1 — registry listing · self-assessment character · listed 2026-06-12 publication</w:t>
      </w:r>
    </w:p>
    <w:p>
      <w:pPr>
        <w:pStyle w:val="ListBullet"/>
      </w:pPr>
      <w:r>
        <w:rPr>
          <w:rFonts w:ascii="Noto Naskh Arabic" w:hAnsi="Noto Naskh Arabic" w:eastAsia="Noto Naskh Arabic" w:cs="Noto Naskh Arabic"/>
          <w:b w:val="0"/>
          <w:sz w:val="22"/>
        </w:rPr>
        <w:t>CAI membership — listed member</w:t>
      </w:r>
    </w:p>
    <w:p>
      <w:pPr>
        <w:pStyle w:val="ListBullet"/>
      </w:pPr>
      <w:r>
        <w:rPr>
          <w:rFonts w:ascii="Noto Naskh Arabic" w:hAnsi="Noto Naskh Arabic" w:eastAsia="Noto Naskh Arabic" w:cs="Noto Naskh Arabic"/>
          <w:b w:val="0"/>
          <w:sz w:val="22"/>
        </w:rPr>
        <w:t>C2PA CA Agreement — signed · Trust List &amp; Generator under review (see 4.C.3)</w:t>
      </w:r>
    </w:p>
    <w:p>
      <w:pPr>
        <w:pStyle w:val="ListBullet"/>
      </w:pPr>
      <w:r>
        <w:rPr>
          <w:rFonts w:ascii="Noto Naskh Arabic" w:hAnsi="Noto Naskh Arabic" w:eastAsia="Noto Naskh Arabic" w:cs="Noto Naskh Arabic"/>
          <w:b w:val="0"/>
          <w:sz w:val="22"/>
        </w:rPr>
        <w:t>NVIDIA Inception — Stage 1</w:t>
      </w:r>
    </w:p>
    <w:p>
      <w:pPr>
        <w:pStyle w:val="ListBullet"/>
      </w:pPr>
      <w:r>
        <w:rPr>
          <w:rFonts w:ascii="Noto Naskh Arabic" w:hAnsi="Noto Naskh Arabic" w:eastAsia="Noto Naskh Arabic" w:cs="Noto Naskh Arabic"/>
          <w:b w:val="0"/>
          <w:sz w:val="22"/>
        </w:rPr>
        <w:t>EU CE / CRA — readiness residual tracking · no CE marking / DoC-complete claim</w:t>
      </w:r>
    </w:p>
    <w:p>
      <w:pPr>
        <w:pStyle w:val="ListBullet"/>
      </w:pPr>
      <w:r>
        <w:rPr>
          <w:rFonts w:ascii="Noto Naskh Arabic" w:hAnsi="Noto Naskh Arabic" w:eastAsia="Noto Naskh Arabic" w:cs="Noto Naskh Arabic"/>
          <w:b w:val="0"/>
          <w:sz w:val="22"/>
        </w:rPr>
        <w:t>WCAG 2.2 AA — internal accessibility gate · not a substitute for third-party audit certificates</w:t>
      </w:r>
    </w:p>
    <w:p>
      <w:pPr>
        <w:pStyle w:val="ListBullet"/>
      </w:pPr>
      <w:r>
        <w:rPr>
          <w:rFonts w:ascii="Noto Naskh Arabic" w:hAnsi="Noto Naskh Arabic" w:eastAsia="Noto Naskh Arabic" w:cs="Noto Naskh Arabic"/>
          <w:b w:val="0"/>
          <w:sz w:val="22"/>
        </w:rPr>
        <w:t>Korea AI Basic Act checklist — internal review and user notices · not a government certification</w:t>
      </w:r>
    </w:p>
    <w:p>
      <w:pPr>
        <w:pStyle w:val="ListBullet"/>
      </w:pPr>
      <w:r>
        <w:rPr>
          <w:rFonts w:ascii="Noto Naskh Arabic" w:hAnsi="Noto Naskh Arabic" w:eastAsia="Noto Naskh Arabic" w:cs="Noto Naskh Arabic"/>
          <w:b w:val="0"/>
          <w:sz w:val="22"/>
        </w:rPr>
        <w:t>Japan AI guidelines · US disclosures · EU Art.50 work — documented in jurisdiction hubs · not Certified-complete</w:t>
      </w:r>
    </w:p>
    <w:p>
      <w:pPr>
        <w:pStyle w:val="Heading1"/>
      </w:pPr>
      <w:r>
        <w:rPr>
          <w:rFonts w:ascii="Noto Naskh Arabic" w:hAnsi="Noto Naskh Arabic" w:eastAsia="Noto Naskh Arabic" w:cs="Noto Naskh Arabic"/>
          <w:b/>
          <w:sz w:val="28"/>
        </w:rPr>
        <w:t>4.C.5 ربط الحوكمة بالبراءات وحقوق التأليف</w:t>
      </w:r>
    </w:p>
    <w:p>
      <w:pPr>
        <w:pStyle w:val="ListBullet"/>
      </w:pPr>
      <w:r>
        <w:rPr>
          <w:rFonts w:ascii="Noto Naskh Arabic" w:hAnsi="Noto Naskh Arabic" w:eastAsia="Noto Naskh Arabic" w:cs="Noto Naskh Arabic"/>
          <w:b w:val="0"/>
          <w:sz w:val="22"/>
        </w:rPr>
        <w:t>Pre-LLM safety &amp; uncalled-engine trace (patent 09) ↔ Constitution · On quality policy</w:t>
      </w:r>
    </w:p>
    <w:p>
      <w:pPr>
        <w:pStyle w:val="ListBullet"/>
      </w:pPr>
      <w:r>
        <w:rPr>
          <w:rFonts w:ascii="Noto Naskh Arabic" w:hAnsi="Noto Naskh Arabic" w:eastAsia="Noto Naskh Arabic" w:cs="Noto Naskh Arabic"/>
          <w:b w:val="0"/>
          <w:sz w:val="22"/>
        </w:rPr>
        <w:t>Minor surface gate (patent 10) ↔ Landing/On notices and gate UI</w:t>
      </w:r>
    </w:p>
    <w:p>
      <w:pPr>
        <w:pStyle w:val="ListBullet"/>
      </w:pPr>
      <w:r>
        <w:rPr>
          <w:rFonts w:ascii="Noto Naskh Arabic" w:hAnsi="Noto Naskh Arabic" w:eastAsia="Noto Naskh Arabic" w:cs="Noto Naskh Arabic"/>
          <w:b w:val="0"/>
          <w:sz w:val="22"/>
        </w:rPr>
        <w:t>Provenance M1–M3 · three-lane signing (patents 07·08) ↔ C2PA portal copyright · Trust List under-review disclosure</w:t>
      </w:r>
    </w:p>
    <w:p>
      <w:pPr>
        <w:pStyle w:val="ListBullet"/>
      </w:pPr>
      <w:r>
        <w:rPr>
          <w:rFonts w:ascii="Noto Naskh Arabic" w:hAnsi="Noto Naskh Arabic" w:eastAsia="Noto Naskh Arabic" w:cs="Noto Naskh Arabic"/>
          <w:b w:val="0"/>
          <w:sz w:val="22"/>
        </w:rPr>
        <w:t>Pre-publish verify/audit (patent 01) ↔ Signal · Landing compliance surfaces</w:t>
      </w:r>
    </w:p>
    <w:p>
      <w:pPr>
        <w:pStyle w:val="ListBullet"/>
      </w:pPr>
      <w:r>
        <w:rPr>
          <w:rFonts w:ascii="Noto Naskh Arabic" w:hAnsi="Noto Naskh Arabic" w:eastAsia="Noto Naskh Arabic" w:cs="Noto Naskh Arabic"/>
          <w:b w:val="0"/>
          <w:sz w:val="22"/>
        </w:rPr>
        <w:t>Framework self-assessment/listed/under-review table (4.C.4) ↔ /ai-certification hub</w:t>
      </w:r>
    </w:p>
    <w:p>
      <w:pPr>
        <w:pStyle w:val="Heading1"/>
      </w:pPr>
      <w:r>
        <w:rPr>
          <w:rFonts w:ascii="Noto Naskh Arabic" w:hAnsi="Noto Naskh Arabic" w:eastAsia="Noto Naskh Arabic" w:cs="Noto Naskh Arabic"/>
          <w:b/>
          <w:sz w:val="28"/>
        </w:rPr>
        <w:t>5. كيف تركّب التقنية الأساسية المنتج</w:t>
      </w:r>
    </w:p>
    <w:p>
      <w:pPr>
        <w:pStyle w:val="ListBullet"/>
      </w:pPr>
      <w:r>
        <w:rPr>
          <w:rFonts w:ascii="Noto Naskh Arabic" w:hAnsi="Noto Naskh Arabic" w:eastAsia="Noto Naskh Arabic" w:cs="Noto Naskh Arabic"/>
          <w:b w:val="0"/>
          <w:sz w:val="22"/>
        </w:rPr>
        <w:t>Partner chat (On copyright): patents 04·05·06·09·10 + 4.C.2 safety/quality</w:t>
      </w:r>
    </w:p>
    <w:p>
      <w:pPr>
        <w:pStyle w:val="ListBullet"/>
      </w:pPr>
      <w:r>
        <w:rPr>
          <w:rFonts w:ascii="Noto Naskh Arabic" w:hAnsi="Noto Naskh Arabic" w:eastAsia="Noto Naskh Arabic" w:cs="Noto Naskh Arabic"/>
          <w:b w:val="0"/>
          <w:sz w:val="22"/>
        </w:rPr>
        <w:t>Media/gallery: patents 08(+07) + C2PA portal copyright + 4.C.3 under-review disclosure</w:t>
      </w:r>
    </w:p>
    <w:p>
      <w:pPr>
        <w:pStyle w:val="ListBullet"/>
      </w:pPr>
      <w:r>
        <w:rPr>
          <w:rFonts w:ascii="Noto Naskh Arabic" w:hAnsi="Noto Naskh Arabic" w:eastAsia="Noto Naskh Arabic" w:cs="Noto Naskh Arabic"/>
          <w:b w:val="0"/>
          <w:sz w:val="22"/>
        </w:rPr>
        <w:t>Campus/studio: patents 02·03 + patent 01 pre-publish verification</w:t>
      </w:r>
    </w:p>
    <w:p>
      <w:pPr>
        <w:pStyle w:val="ListBullet"/>
      </w:pPr>
      <w:r>
        <w:rPr>
          <w:rFonts w:ascii="Noto Naskh Arabic" w:hAnsi="Noto Naskh Arabic" w:eastAsia="Noto Naskh Arabic" w:cs="Noto Naskh Arabic"/>
          <w:b w:val="0"/>
          <w:sz w:val="22"/>
        </w:rPr>
        <w:t>Public trust hub (Landing copyright): 4.C.4 framework detail + IP disclosure</w:t>
      </w:r>
    </w:p>
    <w:p>
      <w:pPr>
        <w:pStyle w:val="Heading1"/>
      </w:pPr>
      <w:r>
        <w:rPr>
          <w:rFonts w:ascii="Noto Naskh Arabic" w:hAnsi="Noto Naskh Arabic" w:eastAsia="Noto Naskh Arabic" w:cs="Noto Naskh Arabic"/>
          <w:b/>
          <w:sz w:val="28"/>
        </w:rPr>
        <w:t>6. العلامة التجارية</w:t>
      </w:r>
    </w:p>
    <w:p>
      <w:pPr>
        <w:pStyle w:val="ListBullet"/>
      </w:pPr>
      <w:r>
        <w:rPr>
          <w:rFonts w:ascii="Noto Naskh Arabic" w:hAnsi="Noto Naskh Arabic" w:eastAsia="Noto Naskh Arabic" w:cs="Noto Naskh Arabic"/>
          <w:b w:val="0"/>
          <w:sz w:val="22"/>
        </w:rPr>
        <w:t>Mark: XENLOOK wordmark</w:t>
      </w:r>
    </w:p>
    <w:p>
      <w:pPr>
        <w:pStyle w:val="ListBullet"/>
      </w:pPr>
      <w:r>
        <w:rPr>
          <w:rFonts w:ascii="Noto Naskh Arabic" w:hAnsi="Noto Naskh Arabic" w:eastAsia="Noto Naskh Arabic" w:cs="Noto Naskh Arabic"/>
          <w:b w:val="0"/>
          <w:sz w:val="22"/>
        </w:rPr>
        <w:t>Application No.: 40-2026-0119385</w:t>
      </w:r>
    </w:p>
    <w:p>
      <w:pPr>
        <w:pStyle w:val="ListBullet"/>
      </w:pPr>
      <w:r>
        <w:rPr>
          <w:rFonts w:ascii="Noto Naskh Arabic" w:hAnsi="Noto Naskh Arabic" w:eastAsia="Noto Naskh Arabic" w:cs="Noto Naskh Arabic"/>
          <w:b w:val="0"/>
          <w:sz w:val="22"/>
        </w:rPr>
        <w:t>Receipt No.: 1-1-2026-0720692-53 · filed 2026-06-13</w:t>
      </w:r>
    </w:p>
    <w:p>
      <w:pPr>
        <w:pStyle w:val="ListBullet"/>
      </w:pPr>
      <w:r>
        <w:rPr>
          <w:rFonts w:ascii="Noto Naskh Arabic" w:hAnsi="Noto Naskh Arabic" w:eastAsia="Noto Naskh Arabic" w:cs="Noto Naskh Arabic"/>
          <w:b w:val="0"/>
          <w:sz w:val="22"/>
        </w:rPr>
        <w:t>Document: trademark application (3 classes including Class 09)</w:t>
      </w:r>
    </w:p>
    <w:p>
      <w:pPr>
        <w:pStyle w:val="ListBullet"/>
      </w:pPr>
      <w:r>
        <w:rPr>
          <w:rFonts w:ascii="Noto Naskh Arabic" w:hAnsi="Noto Naskh Arabic" w:eastAsia="Noto Naskh Arabic" w:cs="Noto Naskh Arabic"/>
          <w:b w:val="0"/>
          <w:sz w:val="22"/>
        </w:rPr>
        <w:t>Status: filed · not registered</w:t>
      </w:r>
    </w:p>
    <w:p>
      <w:pPr>
        <w:pStyle w:val="Heading1"/>
      </w:pPr>
      <w:r>
        <w:rPr>
          <w:rFonts w:ascii="Noto Naskh Arabic" w:hAnsi="Noto Naskh Arabic" w:eastAsia="Noto Naskh Arabic" w:cs="Noto Naskh Arabic"/>
          <w:b/>
          <w:sz w:val="28"/>
        </w:rPr>
        <w:t>7. النطاق والحدود</w:t>
      </w:r>
    </w:p>
    <w:p>
      <w:pPr>
        <w:pStyle w:val="ListBullet"/>
      </w:pPr>
      <w:r>
        <w:rPr>
          <w:rFonts w:ascii="Noto Naskh Arabic" w:hAnsi="Noto Naskh Arabic" w:eastAsia="Noto Naskh Arabic" w:cs="Noto Naskh Arabic"/>
          <w:b w:val="0"/>
          <w:sz w:val="22"/>
        </w:rPr>
        <w:t>Includes: patent problem/structure/effect, technical role of copyright registrations, detailed trust governance, trademark, 2027 roadmap</w:t>
      </w:r>
    </w:p>
    <w:p>
      <w:pPr>
        <w:pStyle w:val="ListBullet"/>
      </w:pPr>
      <w:r>
        <w:rPr>
          <w:rFonts w:ascii="Noto Naskh Arabic" w:hAnsi="Noto Naskh Arabic" w:eastAsia="Noto Naskh Arabic" w:cs="Noto Naskh Arabic"/>
          <w:b w:val="0"/>
          <w:sz w:val="22"/>
        </w:rPr>
        <w:t>Excludes: full claims, full drawings, model weights, training-mix detail</w:t>
      </w:r>
    </w:p>
    <w:p>
      <w:pPr>
        <w:pStyle w:val="ListBullet"/>
      </w:pPr>
      <w:r>
        <w:rPr>
          <w:rFonts w:ascii="Noto Naskh Arabic" w:hAnsi="Noto Naskh Arabic" w:eastAsia="Noto Naskh Arabic" w:cs="Noto Naskh Arabic"/>
          <w:b w:val="0"/>
          <w:sz w:val="22"/>
        </w:rPr>
        <w:t>ASB: concept only · no implementation-complete claim</w:t>
      </w:r>
    </w:p>
    <w:p>
      <w:pPr>
        <w:pStyle w:val="ListBullet"/>
      </w:pPr>
      <w:r>
        <w:rPr>
          <w:rFonts w:ascii="Noto Naskh Arabic" w:hAnsi="Noto Naskh Arabic" w:eastAsia="Noto Naskh Arabic" w:cs="Noto Naskh Arabic"/>
          <w:b w:val="0"/>
          <w:sz w:val="22"/>
        </w:rPr>
        <w:t>Specification metrics = applicant self-measurement · not external lab grades</w:t>
      </w:r>
    </w:p>
    <w:p>
      <w:pPr>
        <w:pStyle w:val="ListBullet"/>
      </w:pPr>
      <w:r>
        <w:rPr>
          <w:rFonts w:ascii="Noto Naskh Arabic" w:hAnsi="Noto Naskh Arabic" w:eastAsia="Noto Naskh Arabic" w:cs="Noto Naskh Arabic"/>
          <w:b w:val="0"/>
          <w:sz w:val="22"/>
        </w:rPr>
        <w:t>No product-100 or legal-clearance-complete declaration</w:t>
      </w:r>
    </w:p>
    <w:p>
      <w:pPr>
        <w:pStyle w:val="Heading1"/>
      </w:pPr>
      <w:r>
        <w:rPr>
          <w:rFonts w:ascii="Noto Naskh Arabic" w:hAnsi="Noto Naskh Arabic" w:eastAsia="Noto Naskh Arabic" w:cs="Noto Naskh Arabic"/>
          <w:b/>
          <w:sz w:val="28"/>
        </w:rPr>
        <w:t>8. خارطة طريق المنتج (2027)</w:t>
      </w:r>
    </w:p>
    <w:p>
      <w:pPr>
        <w:pStyle w:val="ListBullet"/>
      </w:pPr>
      <w:r>
        <w:rPr>
          <w:rFonts w:ascii="Noto Naskh Arabic" w:hAnsi="Noto Naskh Arabic" w:eastAsia="Noto Naskh Arabic" w:cs="Noto Naskh Arabic"/>
          <w:b w:val="0"/>
          <w:sz w:val="22"/>
        </w:rPr>
        <w:t>2027 Q1 — XenLook Guild open</w:t>
      </w:r>
    </w:p>
    <w:p>
      <w:pPr>
        <w:pStyle w:val="ListBullet"/>
      </w:pPr>
      <w:r>
        <w:rPr>
          <w:rFonts w:ascii="Noto Naskh Arabic" w:hAnsi="Noto Naskh Arabic" w:eastAsia="Noto Naskh Arabic" w:cs="Noto Naskh Arabic"/>
          <w:b w:val="0"/>
          <w:sz w:val="22"/>
        </w:rPr>
        <w:t>2027 Q1 — Agent Standard Brain (ASB) concept disclosure</w:t>
      </w:r>
    </w:p>
    <w:p>
      <w:pPr>
        <w:pStyle w:val="ListBullet"/>
      </w:pPr>
      <w:r>
        <w:rPr>
          <w:rFonts w:ascii="Noto Naskh Arabic" w:hAnsi="Noto Naskh Arabic" w:eastAsia="Noto Naskh Arabic" w:cs="Noto Naskh Arabic"/>
          <w:b w:val="0"/>
          <w:sz w:val="22"/>
        </w:rPr>
        <w:t>2027 Q2–Q3 — XenLook World</w:t>
      </w:r>
    </w:p>
    <w:p>
      <w:pPr>
        <w:pStyle w:val="ListBullet"/>
      </w:pPr>
      <w:r>
        <w:rPr>
          <w:rFonts w:ascii="Noto Naskh Arabic" w:hAnsi="Noto Naskh Arabic" w:eastAsia="Noto Naskh Arabic" w:cs="Noto Naskh Arabic"/>
          <w:b w:val="0"/>
          <w:sz w:val="22"/>
        </w:rPr>
        <w:t>2027 Q4 — Agent OS open</w:t>
      </w:r>
    </w:p>
    <w:p>
      <w:pPr>
        <w:pStyle w:val="ListBullet"/>
      </w:pPr>
      <w:r>
        <w:rPr>
          <w:rFonts w:ascii="Noto Naskh Arabic" w:hAnsi="Noto Naskh Arabic" w:eastAsia="Noto Naskh Arabic" w:cs="Noto Naskh Arabic"/>
          <w:b w:val="0"/>
          <w:sz w:val="22"/>
        </w:rPr>
        <w:t>Parallel — C2PA Trust List/Generator review · KR→JP CA · patent examination requests per budget/schedule</w:t>
      </w:r>
    </w:p>
    <w:p>
      <w:pPr>
        <w:pStyle w:val="Heading1"/>
      </w:pPr>
      <w:r>
        <w:rPr>
          <w:rFonts w:ascii="Noto Naskh Arabic" w:hAnsi="Noto Naskh Arabic" w:eastAsia="Noto Naskh Arabic" w:cs="Noto Naskh Arabic"/>
          <w:b/>
          <w:sz w:val="28"/>
        </w:rPr>
        <w:t>9. الخاتمة</w:t>
      </w:r>
    </w:p>
    <w:p>
      <w:pPr>
        <w:spacing w:after="120" w:line="240" w:lineRule="auto"/>
      </w:pPr>
      <w:r>
        <w:rPr>
          <w:rFonts w:ascii="Noto Naskh Arabic" w:hAnsi="Noto Naskh Arabic" w:eastAsia="Noto Naskh Arabic" w:cs="Noto Naskh Arabic"/>
          <w:b w:val="0"/>
          <w:sz w:val="22"/>
        </w:rPr>
        <w:t>Core technology is ten patents, five copyrights, and trust/governance detailed inside that core. We do not replace engineering with certification badges, nor confuse under-review, self-assessment, and registry listing.</w:t>
      </w:r>
    </w:p>
    <w:p>
      <w:pPr>
        <w:pStyle w:val="Heading1"/>
      </w:pPr>
      <w:r>
        <w:rPr>
          <w:rFonts w:ascii="Noto Naskh Arabic" w:hAnsi="Noto Naskh Arabic" w:eastAsia="Noto Naskh Arabic" w:cs="Noto Naskh Arabic"/>
          <w:b/>
          <w:sz w:val="28"/>
        </w:rPr>
        <w:t>الملحق أ. الأسطح العامة والفهرس</w:t>
      </w:r>
    </w:p>
    <w:p>
      <w:pPr>
        <w:pStyle w:val="ListBullet"/>
      </w:pPr>
      <w:r>
        <w:rPr>
          <w:rFonts w:ascii="Noto Naskh Arabic" w:hAnsi="Noto Naskh Arabic" w:eastAsia="Noto Naskh Arabic" w:cs="Noto Naskh Arabic"/>
          <w:b w:val="0"/>
          <w:sz w:val="22"/>
        </w:rPr>
        <w:t>https://xenlook.com</w:t>
      </w:r>
    </w:p>
    <w:p>
      <w:pPr>
        <w:pStyle w:val="ListBullet"/>
      </w:pPr>
      <w:r>
        <w:rPr>
          <w:rFonts w:ascii="Noto Naskh Arabic" w:hAnsi="Noto Naskh Arabic" w:eastAsia="Noto Naskh Arabic" w:cs="Noto Naskh Arabic"/>
          <w:b w:val="0"/>
          <w:sz w:val="22"/>
        </w:rPr>
        <w:t>https://on.xenlook.com</w:t>
      </w:r>
    </w:p>
    <w:p>
      <w:pPr>
        <w:pStyle w:val="ListBullet"/>
      </w:pPr>
      <w:r>
        <w:rPr>
          <w:rFonts w:ascii="Noto Naskh Arabic" w:hAnsi="Noto Naskh Arabic" w:eastAsia="Noto Naskh Arabic" w:cs="Noto Naskh Arabic"/>
          <w:b w:val="0"/>
          <w:sz w:val="22"/>
        </w:rPr>
        <w:t>https://c2pa.xenlook.com</w:t>
      </w:r>
    </w:p>
    <w:p>
      <w:pPr>
        <w:pStyle w:val="ListBullet"/>
      </w:pPr>
      <w:r>
        <w:rPr>
          <w:rFonts w:ascii="Noto Naskh Arabic" w:hAnsi="Noto Naskh Arabic" w:eastAsia="Noto Naskh Arabic" w:cs="Noto Naskh Arabic"/>
          <w:b w:val="0"/>
          <w:sz w:val="22"/>
        </w:rPr>
        <w:t>https://xenlook.com/ai-certification</w:t>
      </w:r>
    </w:p>
    <w:p>
      <w:pPr>
        <w:pStyle w:val="ListBullet"/>
      </w:pPr>
      <w:r>
        <w:rPr>
          <w:rFonts w:ascii="Noto Naskh Arabic" w:hAnsi="Noto Naskh Arabic" w:eastAsia="Noto Naskh Arabic" w:cs="Noto Naskh Arabic"/>
          <w:b w:val="0"/>
          <w:sz w:val="22"/>
        </w:rPr>
        <w:t>https://xenlook.com/ip-protection</w:t>
      </w:r>
    </w:p>
    <w:p>
      <w:pPr>
        <w:pStyle w:val="ListBullet"/>
      </w:pPr>
      <w:r>
        <w:rPr>
          <w:rFonts w:ascii="Noto Naskh Arabic" w:hAnsi="Noto Naskh Arabic" w:eastAsia="Noto Naskh Arabic" w:cs="Noto Naskh Arabic"/>
          <w:b w:val="0"/>
          <w:sz w:val="22"/>
        </w:rPr>
        <w:t>This white paper: https://xenlook.com/ai-certification#tech-cert-whitepaper</w:t>
      </w:r>
    </w:p>
    <w:p>
      <w:pPr>
        <w:pStyle w:val="Heading1"/>
      </w:pPr>
      <w:r>
        <w:rPr>
          <w:rFonts w:ascii="Noto Naskh Arabic" w:hAnsi="Noto Naskh Arabic" w:eastAsia="Noto Naskh Arabic" w:cs="Noto Naskh Arabic"/>
          <w:b/>
          <w:sz w:val="28"/>
        </w:rPr>
        <w:t>الملحق ب. المصطلحات</w:t>
      </w:r>
    </w:p>
    <w:p>
      <w:pPr>
        <w:pStyle w:val="ListBullet"/>
      </w:pPr>
      <w:r>
        <w:rPr>
          <w:rFonts w:ascii="Noto Naskh Arabic" w:hAnsi="Noto Naskh Arabic" w:eastAsia="Noto Naskh Arabic" w:cs="Noto Naskh Arabic"/>
          <w:b w:val="0"/>
          <w:sz w:val="22"/>
        </w:rPr>
        <w:t>SOUL / IDENTITY / CHRONICLE — soul, identity, life-story documents</w:t>
      </w:r>
    </w:p>
    <w:p>
      <w:pPr>
        <w:pStyle w:val="ListBullet"/>
      </w:pPr>
      <w:r>
        <w:rPr>
          <w:rFonts w:ascii="Noto Naskh Arabic" w:hAnsi="Noto Naskh Arabic" w:eastAsia="Noto Naskh Arabic" w:cs="Noto Naskh Arabic"/>
          <w:b w:val="0"/>
          <w:sz w:val="22"/>
        </w:rPr>
        <w:t>surface — service face keyed by API path</w:t>
      </w:r>
    </w:p>
    <w:p>
      <w:pPr>
        <w:pStyle w:val="ListBullet"/>
      </w:pPr>
      <w:r>
        <w:rPr>
          <w:rFonts w:ascii="Noto Naskh Arabic" w:hAnsi="Noto Naskh Arabic" w:eastAsia="Noto Naskh Arabic" w:cs="Noto Naskh Arabic"/>
          <w:b w:val="0"/>
          <w:sz w:val="22"/>
        </w:rPr>
        <w:t>personaPackHash — persona pack hash injected identically across three lanes</w:t>
      </w:r>
    </w:p>
    <w:p>
      <w:pPr>
        <w:pStyle w:val="ListBullet"/>
      </w:pPr>
      <w:r>
        <w:rPr>
          <w:rFonts w:ascii="Noto Naskh Arabic" w:hAnsi="Noto Naskh Arabic" w:eastAsia="Noto Naskh Arabic" w:cs="Noto Naskh Arabic"/>
          <w:b w:val="0"/>
          <w:sz w:val="22"/>
        </w:rPr>
        <w:t>C2PA — Content Provenance and Authenticity</w:t>
      </w:r>
    </w:p>
    <w:p>
      <w:pPr>
        <w:pStyle w:val="ListBullet"/>
      </w:pPr>
      <w:r>
        <w:rPr>
          <w:rFonts w:ascii="Noto Naskh Arabic" w:hAnsi="Noto Naskh Arabic" w:eastAsia="Noto Naskh Arabic" w:cs="Noto Naskh Arabic"/>
          <w:b w:val="0"/>
          <w:sz w:val="22"/>
        </w:rPr>
        <w:t>self-assessment / listed / under review / roadmap / not held — status definitions in 4.C.1</w:t>
      </w:r>
    </w:p>
    <w:p>
      <w:pPr>
        <w:pStyle w:val="ListBullet"/>
      </w:pPr>
      <w:r>
        <w:rPr>
          <w:rFonts w:ascii="Noto Naskh Arabic" w:hAnsi="Noto Naskh Arabic" w:eastAsia="Noto Naskh Arabic" w:cs="Noto Naskh Arabic"/>
          <w:b w:val="0"/>
          <w:sz w:val="22"/>
        </w:rPr>
        <w:t>ASB — Agent Standard Brain · concept only</w:t>
      </w:r>
    </w:p>
    <w:p>
      <w:pPr>
        <w:pStyle w:val="ListBullet"/>
      </w:pPr>
      <w:r>
        <w:rPr>
          <w:rFonts w:ascii="Noto Naskh Arabic" w:hAnsi="Noto Naskh Arabic" w:eastAsia="Noto Naskh Arabic" w:cs="Noto Naskh Arabic"/>
          <w:b w:val="0"/>
          <w:sz w:val="22"/>
        </w:rPr>
        <w:t>KR→JP CA — C2PA CA territory</w:t>
      </w:r>
    </w:p>
    <w:p/>
    <w:p>
      <w:pPr>
        <w:spacing w:after="120" w:line="240" w:lineRule="auto"/>
      </w:pPr>
      <w:r>
        <w:rPr>
          <w:rFonts w:ascii="Noto Naskh Arabic" w:hAnsi="Noto Naskh Arabic" w:eastAsia="Noto Naskh Arabic" w:cs="Noto Naskh Arabic"/>
          <w:b/>
          <w:sz w:val="22"/>
        </w:rPr>
        <w:t>التواصل: help@xenlook.com · XenLook Inc. · https://xenlook.com</w:t>
      </w:r>
    </w:p>
    <w:p>
      <w:pPr>
        <w:spacing w:after="120" w:line="240" w:lineRule="auto"/>
        <w:jc w:val="center"/>
      </w:pPr>
      <w:r>
        <w:rPr>
          <w:rFonts w:ascii="Noto Naskh Arabic" w:hAnsi="Noto Naskh Arabic" w:eastAsia="Noto Naskh Arabic" w:cs="Noto Naskh Arabic"/>
          <w:b w:val="0"/>
          <w:color w:val="64748B"/>
          <w:sz w:val="18"/>
        </w:rPr>
        <w:t>© 2026 XenLook Inc. · ورقة تقنية · طبعة 12 لغة · EN→KO→JA→ZH→…</w:t>
      </w:r>
    </w:p>
    <w:sectPr w:rsidR="00FC693F" w:rsidRPr="0006063C" w:rsidSect="00034616">
      <w:pgSz w:w="12240" w:h="15840"/>
      <w:pgMar w:top="1224" w:right="1440" w:bottom="122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